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828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82803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Lou Tiancheng</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0000FF"/>
        </w:rPr>
        <w:t>1301 PEARL DEVELOPMENT BLDG, 1 MINGZHU</w:t>
      </w:r>
    </w:p>
    <w:p>
      <w:pPr>
        <w:spacing w:after="0" w:line="8" w:lineRule="exact"/>
        <w:rPr>
          <w:sz w:val="24"/>
          <w:szCs w:val="24"/>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0000FF"/>
        </w:rPr>
        <w:t>1ST STREET, HENGLI TOWN, NANSHA DISTRICT</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960" w:type="dxa"/>
            <w:vAlign w:val="bottom"/>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r>
      <w:tr>
        <w:trPr>
          <w:trHeight w:val="230"/>
        </w:trPr>
        <w:tc>
          <w:tcPr>
            <w:tcW w:w="1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GUANGZHOU  F4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511458</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Pony AI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PONY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7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ind w:left="4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3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20"/>
                <w:szCs w:val="20"/>
                <w:color w:val="auto"/>
              </w:rPr>
            </w:pPr>
          </w:p>
        </w:tc>
        <w:tc>
          <w:tcPr>
            <w:tcW w:w="3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218"/>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06/25/2026</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8" w:right="359" w:bottom="1440" w:gutter="0" w:footer="0" w:header="0"/>
          <w:type w:val="continuous"/>
        </w:sectPr>
      </w:pPr>
    </w:p>
    <w:p>
      <w:pPr>
        <w:spacing w:after="0" w:line="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06/25/2026</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31,250</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111,447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06/25/2026</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31,250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80,197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110,828</w:t>
            </w:r>
          </w:p>
        </w:tc>
        <w:tc>
          <w:tcPr>
            <w:tcW w:w="30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IWAY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3320" w:type="dxa"/>
            <w:vAlign w:val="bottom"/>
            <w:tcBorders>
              <w:bottom w:val="single" w:sz="8" w:color="2C2C2C"/>
            </w:tcBorders>
            <w:gridSpan w:val="6"/>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31,250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31,250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3" w:lineRule="exact"/>
              <w:rPr>
                <w:sz w:val="20"/>
                <w:szCs w:val="20"/>
                <w:color w:val="auto"/>
              </w:rPr>
            </w:pPr>
            <w:r>
              <w:rPr>
                <w:rFonts w:ascii="Times New Roman" w:cs="Times New Roman" w:eastAsia="Times New Roman" w:hAnsi="Times New Roman"/>
                <w:sz w:val="13"/>
                <w:szCs w:val="13"/>
                <w:color w:val="0000FF"/>
              </w:rPr>
              <w:t>291,667</w:t>
            </w:r>
          </w:p>
        </w:tc>
        <w:tc>
          <w:tcPr>
            <w:tcW w:w="66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restricted stock units (RSUs) granted in December 2024. The settlement of such vested RSUs were in cash based on fair market value on June 25, 2026, as determined by the Issuer pursuant to the 2016 share incentive plan.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upon vesting, one Class A ordinary share.</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was granted on December 4, 2024. The vesting schedules are 25% of the total RSU granted shall vest on the first anniversary of October 31, 2024, and the remaining 75% of the total RSU granted are scheduled to vest equally with 6.25% at the 25th day of the last month of each quarter thereafter.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Tiancheng Lou</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06/29/2026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7493" TargetMode="External"/><Relationship Id="rId14" Type="http://schemas.openxmlformats.org/officeDocument/2006/relationships/hyperlink" Target="http://www.sec.gov/cgi-bin/browse-edgar?action=getcompany&amp;CIK=0001969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2026-06-29T15:28:30Z</dcterms:created>
  <dcterms:modified xsi:type="dcterms:W3CDTF">2026-06-29T15:28:30Z</dcterms:modified>
</cp:coreProperties>
</file>