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61-4_4seq1.xml.htm"/>
      <w:bookmarkStart w:id="1" w:name="kstm2626561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Haojun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PEARL DEVELOPMENT BLDG, 1 MINGZHU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STREET, HENGLI TOWN, NANSHA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511458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Pony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2"/>
        <w:gridCol w:w="904"/>
        <w:gridCol w:w="774"/>
        <w:gridCol w:w="600"/>
        <w:gridCol w:w="343"/>
        <w:gridCol w:w="917"/>
        <w:gridCol w:w="439"/>
        <w:gridCol w:w="881"/>
        <w:gridCol w:w="1260"/>
        <w:gridCol w:w="979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1,443,467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1,453,467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23,750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1,477,217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13,751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1,463,466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197,918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(RSUs) that vested and settled into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sold by the Reporting Person pursuant to a mandatory non-discretionary sell-to-cover arrangement for the purpose of satisfying income tax liabilities incurred upon vesting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upon vesting,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grant does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Haojun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2497" TargetMode="External"/><Relationship Id="rId5" Type="http://schemas.openxmlformats.org/officeDocument/2006/relationships/hyperlink" Target="http://www.sec.gov/cgi-bin/browse-edgar?action=getcompany&amp;CIK=0001969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904</Words>
  <Characters>4680</Characters>
  <CharactersWithSpaces>5450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