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561-2_4seq1.xml.htm"/>
      <w:bookmarkStart w:id="1" w:name="kstm2626561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 Luyi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PEARL DEVELOPMENT BLDG, 1 MINGZHU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STREET, HENGLI TOWN, NANSHA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511458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Pony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9"/>
        <w:gridCol w:w="904"/>
        <w:gridCol w:w="774"/>
        <w:gridCol w:w="600"/>
        <w:gridCol w:w="346"/>
        <w:gridCol w:w="924"/>
        <w:gridCol w:w="446"/>
        <w:gridCol w:w="882"/>
        <w:gridCol w:w="115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351,099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9,063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360,162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375,162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12,425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362,737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9,063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42,292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stock units (RSUs) that vested and settled into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sold by the Reporting Person pursuant to a mandatory non-discretionary sell-to-cover arrangement for the purpose of satisfying income tax liabilities incurred upon vesting of previously reported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right to receive, upon vesting,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RSU award was granted on May 15, 2023. The vesting schedules are 25% of the total RSU granted shall vest on the first anniversary of April 1, 2023, and the remaining 75% of the total RSU granted are scheduled to vest equally with 6.25% at the 25th day of the last month of each quarter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RSU award was granted on December 10, 2023. The vesting schedules are 25% of the total RSU granted shall vest on the first anniversary of November 1, 2023, and the remaining 75% of the total RSU granted are scheduled to vest equally with 6.25% at the 25th day of the last month of each quarter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RSU award was granted on December 4, 2024. The vesting schedules are 25% of the total RSU granted shall vest on the first anniversary of October 31, 2024, and the remaining 75% of the total RSU granted are scheduled to vest equally with 6.25% at the 25th day of the last month of each quarter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grant does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Luyi Mo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2435" TargetMode="External"/><Relationship Id="rId5" Type="http://schemas.openxmlformats.org/officeDocument/2006/relationships/hyperlink" Target="http://www.sec.gov/cgi-bin/browse-edgar?action=getcompany&amp;CIK=0001969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903</Words>
  <Characters>4653</Characters>
  <CharactersWithSpaces>5422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