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3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2526030</wp:posOffset>
            </wp:positionH>
            <wp:positionV relativeFrom="paragraph">
              <wp:posOffset>64770</wp:posOffset>
            </wp:positionV>
            <wp:extent cx="12515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5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2526030</wp:posOffset>
            </wp:positionH>
            <wp:positionV relativeFrom="paragraph">
              <wp:posOffset>95250</wp:posOffset>
            </wp:positionV>
            <wp:extent cx="12515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4" w:lineRule="exact"/>
        <w:rPr>
          <w:sz w:val="24"/>
          <w:szCs w:val="24"/>
          <w:color w:val="auto"/>
        </w:rPr>
      </w:pPr>
    </w:p>
    <w:p>
      <w:pPr>
        <w:ind w:left="4860" w:right="1540" w:hanging="4852"/>
        <w:spacing w:after="0" w:line="371" w:lineRule="auto"/>
        <w:tabs>
          <w:tab w:leader="none" w:pos="444"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REGISTRATION STATEMENT PURSUANT TO SECTION 12(b) OR (g) OF THE SECURITIES EXCHANGE ACT OF 1934 OR</w:t>
      </w:r>
    </w:p>
    <w:p>
      <w:pPr>
        <w:spacing w:after="0" w:line="30" w:lineRule="exact"/>
        <w:rPr>
          <w:sz w:val="24"/>
          <w:szCs w:val="24"/>
          <w:color w:val="auto"/>
        </w:rPr>
      </w:pPr>
    </w:p>
    <w:p>
      <w:pPr>
        <w:ind w:left="3600" w:right="2360" w:hanging="3592"/>
        <w:spacing w:after="0" w:line="392" w:lineRule="auto"/>
        <w:tabs>
          <w:tab w:leader="none" w:pos="433"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2025</w:t>
      </w:r>
    </w:p>
    <w:p>
      <w:pPr>
        <w:ind w:left="486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OR</w:t>
      </w:r>
    </w:p>
    <w:p>
      <w:pPr>
        <w:spacing w:after="0" w:line="109" w:lineRule="exact"/>
        <w:rPr>
          <w:sz w:val="24"/>
          <w:szCs w:val="24"/>
          <w:color w:val="auto"/>
        </w:rPr>
      </w:pPr>
    </w:p>
    <w:p>
      <w:pPr>
        <w:ind w:left="4860" w:right="2060" w:hanging="4852"/>
        <w:spacing w:after="0" w:line="380" w:lineRule="auto"/>
        <w:tabs>
          <w:tab w:leader="none" w:pos="444"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OR</w:t>
      </w:r>
    </w:p>
    <w:p>
      <w:pPr>
        <w:spacing w:after="0" w:line="30" w:lineRule="exact"/>
        <w:rPr>
          <w:rFonts w:ascii="MS PGothic" w:cs="MS PGothic" w:eastAsia="MS PGothic" w:hAnsi="MS PGothic"/>
          <w:sz w:val="14"/>
          <w:szCs w:val="14"/>
          <w:color w:val="auto"/>
        </w:rPr>
      </w:pPr>
    </w:p>
    <w:p>
      <w:pPr>
        <w:ind w:left="440" w:hanging="432"/>
        <w:spacing w:after="0"/>
        <w:tabs>
          <w:tab w:leader="none" w:pos="44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SHELL COMPANY REPORT PURSUANT TO SECTION 13 OR 15(d) OF THE SECURITIES EXCHANGE ACT OF 1934</w:t>
      </w:r>
    </w:p>
    <w:p>
      <w:pPr>
        <w:spacing w:after="0" w:line="10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Date of event requiring this shell company report</w:t>
      </w:r>
    </w:p>
    <w:p>
      <w:pPr>
        <w:spacing w:after="0" w:line="96" w:lineRule="exact"/>
        <w:rPr>
          <w:sz w:val="24"/>
          <w:szCs w:val="24"/>
          <w:color w:val="auto"/>
        </w:rPr>
      </w:pPr>
    </w:p>
    <w:p>
      <w:pPr>
        <w:ind w:left="3800"/>
        <w:spacing w:after="0"/>
        <w:tabs>
          <w:tab w:leader="none" w:pos="600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3590290</wp:posOffset>
            </wp:positionH>
            <wp:positionV relativeFrom="paragraph">
              <wp:posOffset>0</wp:posOffset>
            </wp:positionV>
            <wp:extent cx="2286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7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Commission file number: 001-42409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2526030</wp:posOffset>
            </wp:positionH>
            <wp:positionV relativeFrom="paragraph">
              <wp:posOffset>144780</wp:posOffset>
            </wp:positionV>
            <wp:extent cx="125158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51585" cy="17145"/>
                    </a:xfrm>
                    <a:prstGeom prst="rect">
                      <a:avLst/>
                    </a:prstGeom>
                    <a:noFill/>
                  </pic:spPr>
                </pic:pic>
              </a:graphicData>
            </a:graphic>
          </wp:anchor>
        </w:drawing>
      </w:r>
    </w:p>
    <w:p>
      <w:pPr>
        <w:spacing w:after="0" w:line="26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0"/>
          <w:szCs w:val="40"/>
          <w:b w:val="1"/>
          <w:bCs w:val="1"/>
          <w:color w:val="auto"/>
        </w:rPr>
        <w:t>Pony AI Inc.</w:t>
      </w:r>
    </w:p>
    <w:p>
      <w:pPr>
        <w:spacing w:after="0" w:line="3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2526030</wp:posOffset>
            </wp:positionH>
            <wp:positionV relativeFrom="paragraph">
              <wp:posOffset>64770</wp:posOffset>
            </wp:positionV>
            <wp:extent cx="12515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51585" cy="17145"/>
                    </a:xfrm>
                    <a:prstGeom prst="rect">
                      <a:avLst/>
                    </a:prstGeom>
                    <a:noFill/>
                  </pic:spPr>
                </pic:pic>
              </a:graphicData>
            </a:graphic>
          </wp:anchor>
        </w:drawing>
      </w:r>
    </w:p>
    <w:p>
      <w:pPr>
        <w:spacing w:after="0" w:line="16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7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Cayman Islands</w:t>
      </w:r>
    </w:p>
    <w:p>
      <w:pPr>
        <w:jc w:val="center"/>
        <w:ind w:right="-99"/>
        <w:spacing w:after="0" w:line="229" w:lineRule="auto"/>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1301 Pearl Development Building</w:t>
      </w:r>
    </w:p>
    <w:p>
      <w:pPr>
        <w:jc w:val="center"/>
        <w:ind w:right="-99"/>
        <w:spacing w:after="0" w:line="222" w:lineRule="auto"/>
        <w:rPr>
          <w:sz w:val="20"/>
          <w:szCs w:val="20"/>
          <w:color w:val="auto"/>
        </w:rPr>
      </w:pPr>
      <w:r>
        <w:rPr>
          <w:rFonts w:ascii="Times New Roman" w:cs="Times New Roman" w:eastAsia="Times New Roman" w:hAnsi="Times New Roman"/>
          <w:sz w:val="14"/>
          <w:szCs w:val="14"/>
          <w:b w:val="1"/>
          <w:bCs w:val="1"/>
          <w:color w:val="auto"/>
        </w:rPr>
        <w:t>1 Mingzhu 1st Street, Hengli Town, Nansha District,</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Guangzhou, People’s Republic of China, 511458</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7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Dr. Jun Peng</w:t>
      </w:r>
    </w:p>
    <w:p>
      <w:pPr>
        <w:jc w:val="center"/>
        <w:ind w:right="-99"/>
        <w:spacing w:after="0" w:line="229" w:lineRule="auto"/>
        <w:rPr>
          <w:sz w:val="20"/>
          <w:szCs w:val="20"/>
          <w:color w:val="auto"/>
        </w:rPr>
      </w:pPr>
      <w:r>
        <w:rPr>
          <w:rFonts w:ascii="Times New Roman" w:cs="Times New Roman" w:eastAsia="Times New Roman" w:hAnsi="Times New Roman"/>
          <w:sz w:val="14"/>
          <w:szCs w:val="14"/>
          <w:b w:val="1"/>
          <w:bCs w:val="1"/>
          <w:color w:val="auto"/>
        </w:rPr>
        <w:t>Chairman of the Board, Chief Executive Officer</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Tel: +86 020-3466-7656</w:t>
      </w:r>
    </w:p>
    <w:p>
      <w:pPr>
        <w:jc w:val="center"/>
        <w:ind w:right="-99"/>
        <w:spacing w:after="0" w:line="222" w:lineRule="auto"/>
        <w:rPr>
          <w:sz w:val="20"/>
          <w:szCs w:val="20"/>
          <w:color w:val="auto"/>
        </w:rPr>
      </w:pPr>
      <w:r>
        <w:rPr>
          <w:rFonts w:ascii="Times New Roman" w:cs="Times New Roman" w:eastAsia="Times New Roman" w:hAnsi="Times New Roman"/>
          <w:sz w:val="14"/>
          <w:szCs w:val="14"/>
          <w:b w:val="1"/>
          <w:bCs w:val="1"/>
          <w:color w:val="auto"/>
        </w:rPr>
        <w:t>E-mail: ir@pony.ai</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1301 Pearl Development Building</w:t>
      </w:r>
    </w:p>
    <w:p>
      <w:pPr>
        <w:ind w:left="3360"/>
        <w:spacing w:after="0" w:line="222" w:lineRule="auto"/>
        <w:rPr>
          <w:sz w:val="20"/>
          <w:szCs w:val="20"/>
          <w:color w:val="auto"/>
        </w:rPr>
      </w:pPr>
      <w:r>
        <w:rPr>
          <w:rFonts w:ascii="Times New Roman" w:cs="Times New Roman" w:eastAsia="Times New Roman" w:hAnsi="Times New Roman"/>
          <w:sz w:val="14"/>
          <w:szCs w:val="14"/>
          <w:b w:val="1"/>
          <w:bCs w:val="1"/>
          <w:color w:val="auto"/>
        </w:rPr>
        <w:t>1 Mingzhu 1st Street, Hengli Town, Nansha District,</w:t>
      </w:r>
    </w:p>
    <w:p>
      <w:pPr>
        <w:ind w:left="3500"/>
        <w:spacing w:after="0" w:line="221" w:lineRule="auto"/>
        <w:rPr>
          <w:sz w:val="20"/>
          <w:szCs w:val="20"/>
          <w:color w:val="auto"/>
        </w:rPr>
      </w:pPr>
      <w:r>
        <w:rPr>
          <w:rFonts w:ascii="Times New Roman" w:cs="Times New Roman" w:eastAsia="Times New Roman" w:hAnsi="Times New Roman"/>
          <w:sz w:val="14"/>
          <w:szCs w:val="14"/>
          <w:b w:val="1"/>
          <w:bCs w:val="1"/>
          <w:color w:val="auto"/>
        </w:rPr>
        <w:t>Guangzhou, People’s Republic of China, 511458</w:t>
      </w: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2526030</wp:posOffset>
            </wp:positionH>
            <wp:positionV relativeFrom="paragraph">
              <wp:posOffset>64770</wp:posOffset>
            </wp:positionV>
            <wp:extent cx="12515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6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Securities registered or to be registered pursuant to Section 12(b) of the Act:</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348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200" w:type="dxa"/>
            <w:vAlign w:val="bottom"/>
            <w:vMerge w:val="continue"/>
          </w:tcPr>
          <w:p>
            <w:pPr>
              <w:spacing w:after="0"/>
              <w:rPr>
                <w:sz w:val="15"/>
                <w:szCs w:val="15"/>
                <w:color w:val="auto"/>
              </w:rPr>
            </w:pPr>
          </w:p>
        </w:tc>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17"/>
        </w:trPr>
        <w:tc>
          <w:tcPr>
            <w:tcW w:w="34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American depositary shares, each ADS represents one</w:t>
            </w:r>
          </w:p>
        </w:tc>
        <w:tc>
          <w:tcPr>
            <w:tcW w:w="200" w:type="dxa"/>
            <w:vAlign w:val="bottom"/>
          </w:tcPr>
          <w:p>
            <w:pPr>
              <w:spacing w:after="0"/>
              <w:rPr>
                <w:sz w:val="10"/>
                <w:szCs w:val="10"/>
                <w:color w:val="auto"/>
              </w:rPr>
            </w:pPr>
          </w:p>
        </w:tc>
        <w:tc>
          <w:tcPr>
            <w:tcW w:w="29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PONY</w:t>
            </w:r>
          </w:p>
        </w:tc>
        <w:tc>
          <w:tcPr>
            <w:tcW w:w="200" w:type="dxa"/>
            <w:vAlign w:val="bottom"/>
          </w:tcPr>
          <w:p>
            <w:pPr>
              <w:spacing w:after="0"/>
              <w:rPr>
                <w:sz w:val="10"/>
                <w:szCs w:val="10"/>
                <w:color w:val="auto"/>
              </w:rPr>
            </w:pPr>
          </w:p>
        </w:tc>
        <w:tc>
          <w:tcPr>
            <w:tcW w:w="29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The Nasdaq Global Select Market</w:t>
            </w:r>
          </w:p>
        </w:tc>
        <w:tc>
          <w:tcPr>
            <w:tcW w:w="0" w:type="dxa"/>
            <w:vAlign w:val="bottom"/>
          </w:tcPr>
          <w:p>
            <w:pPr>
              <w:spacing w:after="0"/>
              <w:rPr>
                <w:sz w:val="1"/>
                <w:szCs w:val="1"/>
                <w:color w:val="auto"/>
              </w:rPr>
            </w:pPr>
          </w:p>
        </w:tc>
      </w:tr>
      <w:tr>
        <w:trPr>
          <w:trHeight w:val="149"/>
        </w:trPr>
        <w:tc>
          <w:tcPr>
            <w:tcW w:w="3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 ordinary share, par value US$0.0005 per share</w:t>
            </w:r>
          </w:p>
        </w:tc>
        <w:tc>
          <w:tcPr>
            <w:tcW w:w="200" w:type="dxa"/>
            <w:vAlign w:val="bottom"/>
          </w:tcPr>
          <w:p>
            <w:pPr>
              <w:spacing w:after="0"/>
              <w:rPr>
                <w:sz w:val="12"/>
                <w:szCs w:val="12"/>
                <w:color w:val="auto"/>
              </w:rPr>
            </w:pPr>
          </w:p>
        </w:tc>
        <w:tc>
          <w:tcPr>
            <w:tcW w:w="2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w:t>
            </w:r>
          </w:p>
        </w:tc>
        <w:tc>
          <w:tcPr>
            <w:tcW w:w="200" w:type="dxa"/>
            <w:vAlign w:val="bottom"/>
          </w:tcPr>
          <w:p>
            <w:pPr>
              <w:spacing w:after="0"/>
              <w:rPr>
                <w:sz w:val="12"/>
                <w:szCs w:val="12"/>
                <w:color w:val="auto"/>
              </w:rPr>
            </w:pPr>
          </w:p>
        </w:tc>
        <w:tc>
          <w:tcPr>
            <w:tcW w:w="2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Global Select Market</w:t>
            </w:r>
          </w:p>
        </w:tc>
        <w:tc>
          <w:tcPr>
            <w:tcW w:w="0" w:type="dxa"/>
            <w:vAlign w:val="bottom"/>
          </w:tcPr>
          <w:p>
            <w:pPr>
              <w:spacing w:after="0"/>
              <w:rPr>
                <w:sz w:val="1"/>
                <w:szCs w:val="1"/>
                <w:color w:val="auto"/>
              </w:rPr>
            </w:pPr>
          </w:p>
        </w:tc>
      </w:tr>
      <w:tr>
        <w:trPr>
          <w:trHeight w:val="148"/>
        </w:trPr>
        <w:tc>
          <w:tcPr>
            <w:tcW w:w="3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 ordinary shares, par value US$0.0005 per</w:t>
            </w:r>
          </w:p>
        </w:tc>
        <w:tc>
          <w:tcPr>
            <w:tcW w:w="200" w:type="dxa"/>
            <w:vAlign w:val="bottom"/>
          </w:tcPr>
          <w:p>
            <w:pPr>
              <w:spacing w:after="0"/>
              <w:rPr>
                <w:sz w:val="12"/>
                <w:szCs w:val="12"/>
                <w:color w:val="auto"/>
              </w:rPr>
            </w:pPr>
          </w:p>
        </w:tc>
        <w:tc>
          <w:tcPr>
            <w:tcW w:w="29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57785</wp:posOffset>
            </wp:positionV>
            <wp:extent cx="1568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6" w:lineRule="exact"/>
        <w:rPr>
          <w:sz w:val="24"/>
          <w:szCs w:val="24"/>
          <w:color w:val="auto"/>
        </w:rPr>
      </w:pPr>
    </w:p>
    <w:p>
      <w:pPr>
        <w:ind w:left="220" w:hanging="212"/>
        <w:spacing w:after="0"/>
        <w:tabs>
          <w:tab w:leader="none" w:pos="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for trading, but only in connection with the listing of the American depositary shares on the Nasdaq Global Select Market.</w:t>
      </w:r>
    </w:p>
    <w:p>
      <w:pPr>
        <w:spacing w:after="0" w:line="102" w:lineRule="exact"/>
        <w:rPr>
          <w:rFonts w:ascii="Times New Roman" w:cs="Times New Roman" w:eastAsia="Times New Roman" w:hAnsi="Times New Roman"/>
          <w:sz w:val="14"/>
          <w:szCs w:val="14"/>
          <w:color w:val="auto"/>
        </w:rPr>
      </w:pPr>
    </w:p>
    <w:p>
      <w:pPr>
        <w:ind w:left="2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color w:val="auto"/>
        </w:rPr>
        <w:t>Securities registered or to be registered pursuant to Section 12(g) of the Act:</w:t>
      </w:r>
    </w:p>
    <w:p>
      <w:pPr>
        <w:spacing w:after="0" w:line="1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(Title of Class)</w:t>
      </w:r>
    </w:p>
    <w:p>
      <w:pPr>
        <w:spacing w:after="0" w:line="1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Securities for which there is a reporting obligation pursuant to Section 15(d) of the Act:</w:t>
      </w:r>
    </w:p>
    <w:p>
      <w:pPr>
        <w:spacing w:after="0" w:line="1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364490</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661" w:right="10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2526030</wp:posOffset>
            </wp:positionH>
            <wp:positionV relativeFrom="paragraph">
              <wp:posOffset>90170</wp:posOffset>
            </wp:positionV>
            <wp:extent cx="12515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the number of outstanding shares of each of the issuer’s classes of capital or common stock as of the close of the period covered by the annual report.</w:t>
      </w:r>
    </w:p>
    <w:p>
      <w:pPr>
        <w:spacing w:after="0" w:line="96"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4"/>
          <w:szCs w:val="14"/>
          <w:color w:val="auto"/>
        </w:rPr>
        <w:t>433,541,553 ordinary shares, comprised of 352,452,783 Class A ordinary shares, par value US$0.0005 per share, and 81,088,770 Class B ordinary shares, par value US$0.0005 per share, as of December 31, 2025.</w:t>
      </w:r>
    </w:p>
    <w:p>
      <w:pPr>
        <w:spacing w:after="0" w:line="37"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0" w:lineRule="exact"/>
        <w:rPr>
          <w:sz w:val="20"/>
          <w:szCs w:val="20"/>
          <w:color w:val="auto"/>
        </w:rPr>
      </w:pPr>
    </w:p>
    <w:p>
      <w:pPr>
        <w:ind w:right="460"/>
        <w:spacing w:after="0" w:line="186" w:lineRule="exact"/>
        <w:rPr>
          <w:sz w:val="20"/>
          <w:szCs w:val="20"/>
          <w:color w:val="auto"/>
        </w:rPr>
      </w:pPr>
      <w:r>
        <w:rPr>
          <w:rFonts w:ascii="Times New Roman" w:cs="Times New Roman" w:eastAsia="Times New Roman" w:hAnsi="Times New Roman"/>
          <w:sz w:val="14"/>
          <w:szCs w:val="14"/>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4"/>
          <w:szCs w:val="14"/>
          <w:color w:val="auto"/>
        </w:rPr>
        <w:t>Note – Checking the box above will not relieve any registrant required to file reports pursuant to Section 13 or 15(d) of the Securities Exchange Act of 1934 from their obligations under those Sections.</w:t>
      </w:r>
    </w:p>
    <w:p>
      <w:pPr>
        <w:spacing w:after="0" w:line="55" w:lineRule="exact"/>
        <w:rPr>
          <w:sz w:val="20"/>
          <w:szCs w:val="20"/>
          <w:color w:val="auto"/>
        </w:rPr>
      </w:pPr>
    </w:p>
    <w:p>
      <w:pPr>
        <w:ind w:right="36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98" w:lineRule="exact"/>
        <w:rPr>
          <w:sz w:val="20"/>
          <w:szCs w:val="20"/>
          <w:color w:val="auto"/>
        </w:rPr>
      </w:pPr>
    </w:p>
    <w:p>
      <w:pPr>
        <w:ind w:right="2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9820"/>
          </w:cols>
          <w:pgMar w:left="980" w:top="513" w:right="1099" w:bottom="1440" w:gutter="0" w:footer="0" w:header="0"/>
        </w:sectPr>
      </w:pPr>
    </w:p>
    <w:p>
      <w:pPr>
        <w:spacing w:after="0" w:line="145"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8"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27" w:lineRule="exact"/>
        <w:rPr>
          <w:sz w:val="20"/>
          <w:szCs w:val="20"/>
          <w:color w:val="auto"/>
        </w:rPr>
      </w:pPr>
    </w:p>
    <w:p>
      <w:pPr>
        <w:sectPr>
          <w:pgSz w:w="11900" w:h="16838" w:orient="portrait"/>
          <w:cols w:equalWidth="0" w:num="4">
            <w:col w:w="2520" w:space="720"/>
            <w:col w:w="3100" w:space="720"/>
            <w:col w:w="1640" w:space="380"/>
            <w:col w:w="740"/>
          </w:cols>
          <w:pgMar w:left="980" w:top="513" w:right="1099" w:bottom="1440" w:gutter="0" w:footer="0" w:header="0"/>
          <w:type w:val="continuous"/>
        </w:sectPr>
      </w:pPr>
    </w:p>
    <w:p>
      <w:pPr>
        <w:ind w:right="20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4"/>
          <w:szCs w:val="14"/>
          <w:color w:val="auto"/>
        </w:rPr>
        <w:t>☐</w:t>
      </w:r>
    </w:p>
    <w:p>
      <w:pPr>
        <w:spacing w:after="0" w:line="60" w:lineRule="exact"/>
        <w:rPr>
          <w:sz w:val="20"/>
          <w:szCs w:val="20"/>
          <w:color w:val="auto"/>
        </w:rPr>
      </w:pPr>
    </w:p>
    <w:p>
      <w:pPr>
        <w:ind w:left="220" w:right="480" w:hanging="212"/>
        <w:spacing w:after="0" w:line="261" w:lineRule="auto"/>
        <w:tabs>
          <w:tab w:leader="none" w:pos="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“new or revised financial accounting standard” refers to any update issued by the Financial Accounting Standards Board to its Accounting Standards Codification after April 5, 2012.</w:t>
      </w:r>
    </w:p>
    <w:p>
      <w:pPr>
        <w:spacing w:after="0" w:line="55" w:lineRule="exact"/>
        <w:rPr>
          <w:sz w:val="20"/>
          <w:szCs w:val="20"/>
          <w:color w:val="auto"/>
        </w:rPr>
      </w:pPr>
    </w:p>
    <w:p>
      <w:pPr>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0" w:lineRule="exact"/>
        <w:rPr>
          <w:sz w:val="20"/>
          <w:szCs w:val="20"/>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0" w:lineRule="exact"/>
        <w:rPr>
          <w:sz w:val="20"/>
          <w:szCs w:val="20"/>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which basis of accounting the registrant has used to prepare the financial statements included in this filing: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4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U.S. GAAP </w:t>
            </w:r>
            <w:r>
              <w:rPr>
                <w:rFonts w:ascii="MS PGothic" w:cs="MS PGothic" w:eastAsia="MS PGothic" w:hAnsi="MS PGothic"/>
                <w:sz w:val="14"/>
                <w:szCs w:val="14"/>
                <w:color w:val="auto"/>
              </w:rPr>
              <w:t>☒</w:t>
            </w:r>
          </w:p>
        </w:tc>
        <w:tc>
          <w:tcPr>
            <w:tcW w:w="40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International Financial Reporting Standards as issued</w:t>
            </w:r>
          </w:p>
        </w:tc>
        <w:tc>
          <w:tcPr>
            <w:tcW w:w="3300" w:type="dxa"/>
            <w:vAlign w:val="bottom"/>
          </w:tcPr>
          <w:p>
            <w:pPr>
              <w:ind w:left="2820"/>
              <w:spacing w:after="0" w:line="161" w:lineRule="exact"/>
              <w:rPr>
                <w:sz w:val="20"/>
                <w:szCs w:val="20"/>
                <w:color w:val="auto"/>
              </w:rPr>
            </w:pPr>
            <w:r>
              <w:rPr>
                <w:rFonts w:ascii="Times New Roman" w:cs="Times New Roman" w:eastAsia="Times New Roman" w:hAnsi="Times New Roman"/>
                <w:sz w:val="14"/>
                <w:szCs w:val="14"/>
                <w:color w:val="auto"/>
                <w:w w:val="93"/>
              </w:rPr>
              <w:t xml:space="preserve">Other </w:t>
            </w:r>
            <w:r>
              <w:rPr>
                <w:rFonts w:ascii="MS PGothic" w:cs="MS PGothic" w:eastAsia="MS PGothic" w:hAnsi="MS PGothic"/>
                <w:sz w:val="14"/>
                <w:szCs w:val="14"/>
                <w:color w:val="auto"/>
                <w:w w:val="93"/>
              </w:rPr>
              <w:t>☐</w:t>
            </w:r>
          </w:p>
        </w:tc>
      </w:tr>
      <w:tr>
        <w:trPr>
          <w:trHeight w:val="242"/>
        </w:trPr>
        <w:tc>
          <w:tcPr>
            <w:tcW w:w="1740" w:type="dxa"/>
            <w:vAlign w:val="bottom"/>
          </w:tcPr>
          <w:p>
            <w:pPr>
              <w:spacing w:after="0"/>
              <w:rPr>
                <w:sz w:val="21"/>
                <w:szCs w:val="21"/>
                <w:color w:val="auto"/>
              </w:rPr>
            </w:pPr>
          </w:p>
        </w:tc>
        <w:tc>
          <w:tcPr>
            <w:tcW w:w="40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by the International Accounting Standards Board</w:t>
            </w:r>
          </w:p>
        </w:tc>
        <w:tc>
          <w:tcPr>
            <w:tcW w:w="33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136" w:lineRule="exact"/>
        <w:rPr>
          <w:sz w:val="20"/>
          <w:szCs w:val="20"/>
          <w:color w:val="auto"/>
        </w:rPr>
      </w:pPr>
    </w:p>
    <w:p>
      <w:pPr>
        <w:spacing w:after="0" w:line="191" w:lineRule="exact"/>
        <w:rPr>
          <w:sz w:val="20"/>
          <w:szCs w:val="20"/>
          <w:color w:val="auto"/>
        </w:rPr>
      </w:pPr>
      <w:r>
        <w:rPr>
          <w:rFonts w:ascii="Times New Roman" w:cs="Times New Roman" w:eastAsia="Times New Roman" w:hAnsi="Times New Roman"/>
          <w:sz w:val="14"/>
          <w:szCs w:val="14"/>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Item 17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Item 18</w:t>
      </w:r>
    </w:p>
    <w:p>
      <w:pPr>
        <w:spacing w:after="0" w:line="51"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(APPLICABLE ONLY TO ISSUERS INVOLVED IN BANKRUPTCY PROCEEDINGS DURING THE PAST FIVE YEARS)</w:t>
      </w:r>
    </w:p>
    <w:p>
      <w:pPr>
        <w:spacing w:after="0" w:line="96" w:lineRule="exact"/>
        <w:rPr>
          <w:sz w:val="20"/>
          <w:szCs w:val="20"/>
          <w:color w:val="auto"/>
        </w:rPr>
      </w:pPr>
    </w:p>
    <w:p>
      <w:pPr>
        <w:ind w:right="1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627380</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27305</wp:posOffset>
            </wp:positionV>
            <wp:extent cx="6292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69850</wp:posOffset>
            </wp:positionV>
            <wp:extent cx="6292215"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820"/>
          </w:cols>
          <w:pgMar w:left="980" w:top="513" w:right="109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40" w:type="dxa"/>
            <w:vAlign w:val="bottom"/>
            <w:gridSpan w:val="37"/>
            <w:vMerge w:val="restart"/>
          </w:tcPr>
          <w:p>
            <w:pPr>
              <w:spacing w:after="0"/>
              <w:rPr>
                <w:sz w:val="20"/>
                <w:szCs w:val="20"/>
                <w:color w:val="auto"/>
              </w:rPr>
            </w:pPr>
            <w:r>
              <w:rPr>
                <w:rFonts w:ascii="Times New Roman" w:cs="Times New Roman" w:eastAsia="Times New Roman" w:hAnsi="Times New Roman"/>
                <w:sz w:val="18"/>
                <w:szCs w:val="18"/>
                <w:color w:val="0000EE"/>
              </w:rPr>
              <w:t>INTRODUCTION</w:t>
            </w:r>
          </w:p>
        </w:tc>
        <w:tc>
          <w:tcPr>
            <w:tcW w:w="4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9"/>
        </w:trPr>
        <w:tc>
          <w:tcPr>
            <w:tcW w:w="9440" w:type="dxa"/>
            <w:vAlign w:val="bottom"/>
            <w:gridSpan w:val="37"/>
            <w:vMerge w:val="continue"/>
          </w:tcPr>
          <w:p>
            <w:pPr>
              <w:spacing w:after="0"/>
              <w:rPr>
                <w:sz w:val="14"/>
                <w:szCs w:val="14"/>
                <w:color w:val="auto"/>
              </w:rPr>
            </w:pPr>
          </w:p>
        </w:tc>
        <w:tc>
          <w:tcPr>
            <w:tcW w:w="4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4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FORWARD-LOOKING INFORMATION</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v</w:t>
            </w:r>
          </w:p>
        </w:tc>
        <w:tc>
          <w:tcPr>
            <w:tcW w:w="0" w:type="dxa"/>
            <w:vAlign w:val="bottom"/>
          </w:tcPr>
          <w:p>
            <w:pPr>
              <w:spacing w:after="0"/>
              <w:rPr>
                <w:sz w:val="1"/>
                <w:szCs w:val="1"/>
                <w:color w:val="auto"/>
              </w:rPr>
            </w:pPr>
          </w:p>
        </w:tc>
      </w:tr>
      <w:tr>
        <w:trPr>
          <w:trHeight w:val="196"/>
        </w:trPr>
        <w:tc>
          <w:tcPr>
            <w:tcW w:w="11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PART I</w:t>
            </w: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w:t>
            </w:r>
          </w:p>
        </w:tc>
        <w:tc>
          <w:tcPr>
            <w:tcW w:w="160" w:type="dxa"/>
            <w:vAlign w:val="bottom"/>
            <w:gridSpan w:val="3"/>
          </w:tcPr>
          <w:p>
            <w:pPr>
              <w:spacing w:after="0"/>
              <w:rPr>
                <w:sz w:val="17"/>
                <w:szCs w:val="17"/>
                <w:color w:val="auto"/>
              </w:rPr>
            </w:pPr>
          </w:p>
        </w:tc>
        <w:tc>
          <w:tcPr>
            <w:tcW w:w="8320" w:type="dxa"/>
            <w:vAlign w:val="bottom"/>
            <w:gridSpan w:val="29"/>
          </w:tcPr>
          <w:p>
            <w:pPr>
              <w:ind w:left="140"/>
              <w:spacing w:after="0" w:line="196" w:lineRule="exact"/>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2.</w:t>
            </w:r>
          </w:p>
        </w:tc>
        <w:tc>
          <w:tcPr>
            <w:tcW w:w="160" w:type="dxa"/>
            <w:vAlign w:val="bottom"/>
            <w:gridSpan w:val="3"/>
          </w:tcPr>
          <w:p>
            <w:pPr>
              <w:spacing w:after="0"/>
              <w:rPr>
                <w:sz w:val="17"/>
                <w:szCs w:val="17"/>
                <w:color w:val="auto"/>
              </w:rPr>
            </w:pPr>
          </w:p>
        </w:tc>
        <w:tc>
          <w:tcPr>
            <w:tcW w:w="8320" w:type="dxa"/>
            <w:vAlign w:val="bottom"/>
            <w:gridSpan w:val="29"/>
          </w:tcPr>
          <w:p>
            <w:pPr>
              <w:ind w:left="140"/>
              <w:spacing w:after="0" w:line="196"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3.</w:t>
            </w:r>
          </w:p>
        </w:tc>
        <w:tc>
          <w:tcPr>
            <w:tcW w:w="160" w:type="dxa"/>
            <w:vAlign w:val="bottom"/>
            <w:gridSpan w:val="3"/>
          </w:tcPr>
          <w:p>
            <w:pPr>
              <w:spacing w:after="0"/>
              <w:rPr>
                <w:sz w:val="17"/>
                <w:szCs w:val="17"/>
                <w:color w:val="auto"/>
              </w:rPr>
            </w:pPr>
          </w:p>
        </w:tc>
        <w:tc>
          <w:tcPr>
            <w:tcW w:w="8320" w:type="dxa"/>
            <w:vAlign w:val="bottom"/>
            <w:gridSpan w:val="29"/>
          </w:tcPr>
          <w:p>
            <w:pPr>
              <w:ind w:left="140"/>
              <w:spacing w:after="0" w:line="196" w:lineRule="exact"/>
              <w:rPr>
                <w:sz w:val="20"/>
                <w:szCs w:val="20"/>
                <w:color w:val="auto"/>
              </w:rPr>
            </w:pPr>
            <w:r>
              <w:rPr>
                <w:rFonts w:ascii="Times New Roman" w:cs="Times New Roman" w:eastAsia="Times New Roman" w:hAnsi="Times New Roman"/>
                <w:sz w:val="18"/>
                <w:szCs w:val="18"/>
                <w:color w:val="0000EE"/>
              </w:rPr>
              <w:t>KEY INFORMATION</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4.</w:t>
            </w:r>
          </w:p>
        </w:tc>
        <w:tc>
          <w:tcPr>
            <w:tcW w:w="160" w:type="dxa"/>
            <w:vAlign w:val="bottom"/>
            <w:gridSpan w:val="3"/>
          </w:tcPr>
          <w:p>
            <w:pPr>
              <w:spacing w:after="0"/>
              <w:rPr>
                <w:sz w:val="17"/>
                <w:szCs w:val="17"/>
                <w:color w:val="auto"/>
              </w:rPr>
            </w:pPr>
          </w:p>
        </w:tc>
        <w:tc>
          <w:tcPr>
            <w:tcW w:w="8320" w:type="dxa"/>
            <w:vAlign w:val="bottom"/>
            <w:gridSpan w:val="29"/>
          </w:tcPr>
          <w:p>
            <w:pPr>
              <w:ind w:left="140"/>
              <w:spacing w:after="0" w:line="196" w:lineRule="exact"/>
              <w:rPr>
                <w:sz w:val="20"/>
                <w:szCs w:val="20"/>
                <w:color w:val="auto"/>
              </w:rPr>
            </w:pPr>
            <w:r>
              <w:rPr>
                <w:rFonts w:ascii="Times New Roman" w:cs="Times New Roman" w:eastAsia="Times New Roman" w:hAnsi="Times New Roman"/>
                <w:sz w:val="18"/>
                <w:szCs w:val="18"/>
                <w:color w:val="0000EE"/>
              </w:rPr>
              <w:t>INFORMATION ON THE COMPANY</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ITEM 4A.</w:t>
            </w:r>
          </w:p>
        </w:tc>
        <w:tc>
          <w:tcPr>
            <w:tcW w:w="8320" w:type="dxa"/>
            <w:vAlign w:val="bottom"/>
            <w:gridSpan w:val="29"/>
          </w:tcPr>
          <w:p>
            <w:pPr>
              <w:ind w:left="140"/>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5.</w:t>
            </w:r>
          </w:p>
        </w:tc>
        <w:tc>
          <w:tcPr>
            <w:tcW w:w="8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8320" w:type="dxa"/>
            <w:vAlign w:val="bottom"/>
            <w:gridSpan w:val="29"/>
          </w:tcPr>
          <w:p>
            <w:pPr>
              <w:ind w:left="140"/>
              <w:spacing w:after="0" w:line="196"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6.</w:t>
            </w:r>
          </w:p>
        </w:tc>
        <w:tc>
          <w:tcPr>
            <w:tcW w:w="160" w:type="dxa"/>
            <w:vAlign w:val="bottom"/>
            <w:gridSpan w:val="3"/>
          </w:tcPr>
          <w:p>
            <w:pPr>
              <w:spacing w:after="0"/>
              <w:rPr>
                <w:sz w:val="17"/>
                <w:szCs w:val="17"/>
                <w:color w:val="auto"/>
              </w:rPr>
            </w:pPr>
          </w:p>
        </w:tc>
        <w:tc>
          <w:tcPr>
            <w:tcW w:w="8320" w:type="dxa"/>
            <w:vAlign w:val="bottom"/>
            <w:gridSpan w:val="29"/>
          </w:tcPr>
          <w:p>
            <w:pPr>
              <w:ind w:left="140"/>
              <w:spacing w:after="0" w:line="196" w:lineRule="exact"/>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7.</w:t>
            </w:r>
          </w:p>
        </w:tc>
        <w:tc>
          <w:tcPr>
            <w:tcW w:w="160" w:type="dxa"/>
            <w:vAlign w:val="bottom"/>
            <w:gridSpan w:val="3"/>
          </w:tcPr>
          <w:p>
            <w:pPr>
              <w:spacing w:after="0"/>
              <w:rPr>
                <w:sz w:val="17"/>
                <w:szCs w:val="17"/>
                <w:color w:val="auto"/>
              </w:rPr>
            </w:pPr>
          </w:p>
        </w:tc>
        <w:tc>
          <w:tcPr>
            <w:tcW w:w="8320" w:type="dxa"/>
            <w:vAlign w:val="bottom"/>
            <w:gridSpan w:val="29"/>
          </w:tcPr>
          <w:p>
            <w:pPr>
              <w:ind w:left="140"/>
              <w:spacing w:after="0" w:line="196" w:lineRule="exact"/>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8.</w:t>
            </w:r>
          </w:p>
        </w:tc>
        <w:tc>
          <w:tcPr>
            <w:tcW w:w="160" w:type="dxa"/>
            <w:vAlign w:val="bottom"/>
            <w:gridSpan w:val="3"/>
          </w:tcPr>
          <w:p>
            <w:pPr>
              <w:spacing w:after="0"/>
              <w:rPr>
                <w:sz w:val="17"/>
                <w:szCs w:val="17"/>
                <w:color w:val="auto"/>
              </w:rPr>
            </w:pPr>
          </w:p>
        </w:tc>
        <w:tc>
          <w:tcPr>
            <w:tcW w:w="8320" w:type="dxa"/>
            <w:vAlign w:val="bottom"/>
            <w:gridSpan w:val="29"/>
          </w:tcPr>
          <w:p>
            <w:pPr>
              <w:ind w:left="140"/>
              <w:spacing w:after="0" w:line="196" w:lineRule="exact"/>
              <w:rPr>
                <w:sz w:val="20"/>
                <w:szCs w:val="20"/>
                <w:color w:val="auto"/>
              </w:rPr>
            </w:pPr>
            <w:r>
              <w:rPr>
                <w:rFonts w:ascii="Times New Roman" w:cs="Times New Roman" w:eastAsia="Times New Roman" w:hAnsi="Times New Roman"/>
                <w:sz w:val="18"/>
                <w:szCs w:val="18"/>
                <w:color w:val="0000EE"/>
              </w:rPr>
              <w:t>FINANCIAL INFORMATION</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9.</w:t>
            </w:r>
          </w:p>
        </w:tc>
        <w:tc>
          <w:tcPr>
            <w:tcW w:w="160" w:type="dxa"/>
            <w:vAlign w:val="bottom"/>
            <w:gridSpan w:val="3"/>
          </w:tcPr>
          <w:p>
            <w:pPr>
              <w:spacing w:after="0"/>
              <w:rPr>
                <w:sz w:val="17"/>
                <w:szCs w:val="17"/>
                <w:color w:val="auto"/>
              </w:rPr>
            </w:pPr>
          </w:p>
        </w:tc>
        <w:tc>
          <w:tcPr>
            <w:tcW w:w="8320" w:type="dxa"/>
            <w:vAlign w:val="bottom"/>
            <w:gridSpan w:val="29"/>
          </w:tcPr>
          <w:p>
            <w:pPr>
              <w:ind w:left="140"/>
              <w:spacing w:after="0" w:line="196" w:lineRule="exact"/>
              <w:rPr>
                <w:sz w:val="20"/>
                <w:szCs w:val="20"/>
                <w:color w:val="auto"/>
              </w:rPr>
            </w:pPr>
            <w:r>
              <w:rPr>
                <w:rFonts w:ascii="Times New Roman" w:cs="Times New Roman" w:eastAsia="Times New Roman" w:hAnsi="Times New Roman"/>
                <w:sz w:val="18"/>
                <w:szCs w:val="18"/>
                <w:color w:val="0000EE"/>
              </w:rPr>
              <w:t>THE OFFER AND LISTING</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10.</w:t>
            </w:r>
          </w:p>
        </w:tc>
        <w:tc>
          <w:tcPr>
            <w:tcW w:w="8320" w:type="dxa"/>
            <w:vAlign w:val="bottom"/>
            <w:gridSpan w:val="29"/>
          </w:tcPr>
          <w:p>
            <w:pPr>
              <w:ind w:left="140"/>
              <w:spacing w:after="0" w:line="196" w:lineRule="exact"/>
              <w:rPr>
                <w:sz w:val="20"/>
                <w:szCs w:val="20"/>
                <w:color w:val="auto"/>
              </w:rPr>
            </w:pPr>
            <w:r>
              <w:rPr>
                <w:rFonts w:ascii="Times New Roman" w:cs="Times New Roman" w:eastAsia="Times New Roman" w:hAnsi="Times New Roman"/>
                <w:sz w:val="18"/>
                <w:szCs w:val="18"/>
                <w:color w:val="0000EE"/>
              </w:rPr>
              <w:t>ADDITIONAL INFORMATION</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2"/>
              </w:rPr>
              <w:t>ITEM 11.</w:t>
            </w:r>
          </w:p>
        </w:tc>
        <w:tc>
          <w:tcPr>
            <w:tcW w:w="80" w:type="dxa"/>
            <w:vAlign w:val="bottom"/>
            <w:gridSpan w:val="2"/>
          </w:tcPr>
          <w:p>
            <w:pPr>
              <w:spacing w:after="0"/>
              <w:rPr>
                <w:sz w:val="17"/>
                <w:szCs w:val="17"/>
                <w:color w:val="auto"/>
              </w:rPr>
            </w:pPr>
          </w:p>
        </w:tc>
        <w:tc>
          <w:tcPr>
            <w:tcW w:w="8320" w:type="dxa"/>
            <w:vAlign w:val="bottom"/>
            <w:gridSpan w:val="29"/>
          </w:tcPr>
          <w:p>
            <w:pPr>
              <w:ind w:left="140"/>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12.</w:t>
            </w:r>
          </w:p>
        </w:tc>
        <w:tc>
          <w:tcPr>
            <w:tcW w:w="8320" w:type="dxa"/>
            <w:vAlign w:val="bottom"/>
            <w:gridSpan w:val="29"/>
          </w:tcPr>
          <w:p>
            <w:pPr>
              <w:ind w:left="140"/>
              <w:spacing w:after="0" w:line="19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PART II</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13.</w:t>
            </w:r>
          </w:p>
        </w:tc>
        <w:tc>
          <w:tcPr>
            <w:tcW w:w="8320" w:type="dxa"/>
            <w:vAlign w:val="bottom"/>
            <w:gridSpan w:val="29"/>
          </w:tcPr>
          <w:p>
            <w:pPr>
              <w:ind w:left="140"/>
              <w:spacing w:after="0" w:line="196" w:lineRule="exact"/>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8320" w:type="dxa"/>
            <w:vAlign w:val="bottom"/>
            <w:gridSpan w:val="29"/>
          </w:tcPr>
          <w:p>
            <w:pPr>
              <w:ind w:left="140"/>
              <w:spacing w:after="0" w:line="196"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 OF PROCEEDS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15.</w:t>
            </w:r>
          </w:p>
        </w:tc>
        <w:tc>
          <w:tcPr>
            <w:tcW w:w="8320" w:type="dxa"/>
            <w:vAlign w:val="bottom"/>
            <w:gridSpan w:val="29"/>
          </w:tcPr>
          <w:p>
            <w:pPr>
              <w:ind w:left="140"/>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16.</w:t>
            </w:r>
          </w:p>
        </w:tc>
        <w:tc>
          <w:tcPr>
            <w:tcW w:w="8320" w:type="dxa"/>
            <w:vAlign w:val="bottom"/>
            <w:gridSpan w:val="29"/>
          </w:tcPr>
          <w:p>
            <w:pPr>
              <w:ind w:left="140"/>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88"/>
              </w:rPr>
              <w:t>ITEM 16A.</w:t>
            </w:r>
          </w:p>
        </w:tc>
        <w:tc>
          <w:tcPr>
            <w:tcW w:w="8320" w:type="dxa"/>
            <w:vAlign w:val="bottom"/>
            <w:gridSpan w:val="29"/>
          </w:tcPr>
          <w:p>
            <w:pPr>
              <w:ind w:left="140"/>
              <w:spacing w:after="0" w:line="196" w:lineRule="exact"/>
              <w:rPr>
                <w:sz w:val="20"/>
                <w:szCs w:val="20"/>
                <w:color w:val="auto"/>
              </w:rPr>
            </w:pPr>
            <w:r>
              <w:rPr>
                <w:rFonts w:ascii="Times New Roman" w:cs="Times New Roman" w:eastAsia="Times New Roman" w:hAnsi="Times New Roman"/>
                <w:sz w:val="18"/>
                <w:szCs w:val="18"/>
                <w:color w:val="0000EE"/>
              </w:rPr>
              <w:t>AUDIT COMMITTEE FINANCIAL EXPERT</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16B.</w:t>
            </w:r>
          </w:p>
        </w:tc>
        <w:tc>
          <w:tcPr>
            <w:tcW w:w="8320" w:type="dxa"/>
            <w:vAlign w:val="bottom"/>
            <w:gridSpan w:val="29"/>
          </w:tcPr>
          <w:p>
            <w:pPr>
              <w:ind w:left="140"/>
              <w:spacing w:after="0" w:line="196" w:lineRule="exact"/>
              <w:rPr>
                <w:sz w:val="20"/>
                <w:szCs w:val="20"/>
                <w:color w:val="auto"/>
              </w:rPr>
            </w:pPr>
            <w:r>
              <w:rPr>
                <w:rFonts w:ascii="Times New Roman" w:cs="Times New Roman" w:eastAsia="Times New Roman" w:hAnsi="Times New Roman"/>
                <w:sz w:val="18"/>
                <w:szCs w:val="18"/>
                <w:color w:val="0000EE"/>
              </w:rPr>
              <w:t>CODE OF ETHICS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16C.</w:t>
            </w:r>
          </w:p>
        </w:tc>
        <w:tc>
          <w:tcPr>
            <w:tcW w:w="8320" w:type="dxa"/>
            <w:vAlign w:val="bottom"/>
            <w:gridSpan w:val="29"/>
          </w:tcPr>
          <w:p>
            <w:pPr>
              <w:ind w:left="140"/>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60" w:type="dxa"/>
            <w:vAlign w:val="bottom"/>
            <w:tcBorders>
              <w:left w:val="single" w:sz="8" w:color="0000EE"/>
            </w:tcBorders>
            <w:gridSpan w:val="4"/>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88"/>
              </w:rPr>
              <w:t>ITEM 16D.</w:t>
            </w:r>
          </w:p>
        </w:tc>
        <w:tc>
          <w:tcPr>
            <w:tcW w:w="8320" w:type="dxa"/>
            <w:vAlign w:val="bottom"/>
            <w:gridSpan w:val="29"/>
          </w:tcPr>
          <w:p>
            <w:pPr>
              <w:ind w:left="140"/>
              <w:spacing w:after="0" w:line="196" w:lineRule="exact"/>
              <w:rPr>
                <w:sz w:val="20"/>
                <w:szCs w:val="20"/>
                <w:color w:val="auto"/>
              </w:rPr>
            </w:pPr>
            <w:r>
              <w:rPr>
                <w:rFonts w:ascii="Times New Roman" w:cs="Times New Roman" w:eastAsia="Times New Roman" w:hAnsi="Times New Roman"/>
                <w:sz w:val="18"/>
                <w:szCs w:val="18"/>
                <w:color w:val="0000EE"/>
              </w:rPr>
              <w:t>EXEMPTIONS FROM THE LISTING STANDARDS FOR AUDIT COMMITTEES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80" w:type="dxa"/>
            <w:vAlign w:val="bottom"/>
            <w:tcBorders>
              <w:left w:val="single" w:sz="8" w:color="0000EE"/>
            </w:tcBorders>
            <w:gridSpan w:val="6"/>
            <w:shd w:val="clear" w:color="auto" w:fill="0000EE"/>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0"/>
              </w:rPr>
              <w:t>ITEM 16E.</w:t>
            </w:r>
          </w:p>
        </w:tc>
        <w:tc>
          <w:tcPr>
            <w:tcW w:w="8320" w:type="dxa"/>
            <w:vAlign w:val="bottom"/>
            <w:gridSpan w:val="29"/>
          </w:tcPr>
          <w:p>
            <w:pPr>
              <w:ind w:left="140"/>
              <w:spacing w:after="0" w:line="196" w:lineRule="exact"/>
              <w:rPr>
                <w:sz w:val="20"/>
                <w:szCs w:val="20"/>
                <w:color w:val="auto"/>
              </w:rPr>
            </w:pPr>
            <w:r>
              <w:rPr>
                <w:rFonts w:ascii="Times New Roman" w:cs="Times New Roman" w:eastAsia="Times New Roman" w:hAnsi="Times New Roman"/>
                <w:sz w:val="18"/>
                <w:szCs w:val="18"/>
                <w:color w:val="0000EE"/>
              </w:rPr>
              <w:t>PURCHASES OF EQUITY SECURITIES BY THE ISSUER AND AFFILIATED PURCHASERS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80" w:type="dxa"/>
            <w:vAlign w:val="bottom"/>
            <w:tcBorders>
              <w:left w:val="single" w:sz="8" w:color="0000EE"/>
            </w:tcBorders>
            <w:gridSpan w:val="6"/>
            <w:shd w:val="clear" w:color="auto" w:fill="0000EE"/>
          </w:tcPr>
          <w:p>
            <w:pPr>
              <w:spacing w:after="0" w:line="20" w:lineRule="exact"/>
              <w:rPr>
                <w:sz w:val="1"/>
                <w:szCs w:val="1"/>
                <w:color w:val="auto"/>
              </w:rPr>
            </w:pPr>
          </w:p>
        </w:tc>
        <w:tc>
          <w:tcPr>
            <w:tcW w:w="2320" w:type="dxa"/>
            <w:vAlign w:val="bottom"/>
            <w:gridSpan w:val="7"/>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1"/>
              </w:rPr>
              <w:t>ITEM 16F.</w:t>
            </w:r>
          </w:p>
        </w:tc>
        <w:tc>
          <w:tcPr>
            <w:tcW w:w="8320" w:type="dxa"/>
            <w:vAlign w:val="bottom"/>
            <w:gridSpan w:val="29"/>
          </w:tcPr>
          <w:p>
            <w:pPr>
              <w:ind w:left="140"/>
              <w:spacing w:after="0" w:line="196" w:lineRule="exact"/>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80" w:type="dxa"/>
            <w:vAlign w:val="bottom"/>
            <w:tcBorders>
              <w:left w:val="single" w:sz="8" w:color="0000EE"/>
            </w:tcBorders>
            <w:gridSpan w:val="6"/>
            <w:shd w:val="clear" w:color="auto" w:fill="0000EE"/>
          </w:tcPr>
          <w:p>
            <w:pPr>
              <w:spacing w:after="0" w:line="20" w:lineRule="exact"/>
              <w:rPr>
                <w:sz w:val="1"/>
                <w:szCs w:val="1"/>
                <w:color w:val="auto"/>
              </w:rPr>
            </w:pPr>
          </w:p>
        </w:tc>
        <w:tc>
          <w:tcPr>
            <w:tcW w:w="2320" w:type="dxa"/>
            <w:vAlign w:val="bottom"/>
            <w:gridSpan w:val="7"/>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88"/>
              </w:rPr>
              <w:t>ITEM 16G.</w:t>
            </w:r>
          </w:p>
        </w:tc>
        <w:tc>
          <w:tcPr>
            <w:tcW w:w="8320" w:type="dxa"/>
            <w:vAlign w:val="bottom"/>
            <w:gridSpan w:val="29"/>
          </w:tcPr>
          <w:p>
            <w:pPr>
              <w:ind w:left="140"/>
              <w:spacing w:after="0" w:line="196" w:lineRule="exact"/>
              <w:rPr>
                <w:sz w:val="20"/>
                <w:szCs w:val="20"/>
                <w:color w:val="auto"/>
              </w:rPr>
            </w:pPr>
            <w:r>
              <w:rPr>
                <w:rFonts w:ascii="Times New Roman" w:cs="Times New Roman" w:eastAsia="Times New Roman" w:hAnsi="Times New Roman"/>
                <w:sz w:val="18"/>
                <w:szCs w:val="18"/>
                <w:color w:val="0000EE"/>
              </w:rPr>
              <w:t>CORPORATE GOVERNANCE</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0" w:type="dxa"/>
            <w:vAlign w:val="bottom"/>
            <w:gridSpan w:val="1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88"/>
              </w:rPr>
              <w:t>ITEM 16H.</w:t>
            </w:r>
          </w:p>
        </w:tc>
        <w:tc>
          <w:tcPr>
            <w:tcW w:w="8320" w:type="dxa"/>
            <w:vAlign w:val="bottom"/>
            <w:gridSpan w:val="29"/>
          </w:tcPr>
          <w:p>
            <w:pPr>
              <w:ind w:left="140"/>
              <w:spacing w:after="0" w:line="196" w:lineRule="exact"/>
              <w:rPr>
                <w:sz w:val="20"/>
                <w:szCs w:val="20"/>
                <w:color w:val="auto"/>
              </w:rPr>
            </w:pPr>
            <w:r>
              <w:rPr>
                <w:rFonts w:ascii="Times New Roman" w:cs="Times New Roman" w:eastAsia="Times New Roman" w:hAnsi="Times New Roman"/>
                <w:sz w:val="18"/>
                <w:szCs w:val="18"/>
                <w:color w:val="0000EE"/>
              </w:rPr>
              <w:t>MINE SAFETY DISCLOSURE</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0" w:type="dxa"/>
            <w:vAlign w:val="bottom"/>
            <w:gridSpan w:val="1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16I.</w:t>
            </w:r>
          </w:p>
        </w:tc>
        <w:tc>
          <w:tcPr>
            <w:tcW w:w="8320" w:type="dxa"/>
            <w:vAlign w:val="bottom"/>
            <w:gridSpan w:val="29"/>
          </w:tcPr>
          <w:p>
            <w:pPr>
              <w:ind w:left="140"/>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4600" w:type="dxa"/>
            <w:vAlign w:val="bottom"/>
            <w:tcBorders>
              <w:left w:val="single" w:sz="8" w:color="0000EE"/>
            </w:tcBorders>
            <w:gridSpan w:val="13"/>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4"/>
              </w:rPr>
              <w:t>ITEM 16J.</w:t>
            </w:r>
          </w:p>
        </w:tc>
        <w:tc>
          <w:tcPr>
            <w:tcW w:w="8320" w:type="dxa"/>
            <w:vAlign w:val="bottom"/>
            <w:gridSpan w:val="29"/>
          </w:tcPr>
          <w:p>
            <w:pPr>
              <w:ind w:left="140"/>
              <w:spacing w:after="0" w:line="196" w:lineRule="exact"/>
              <w:rPr>
                <w:sz w:val="20"/>
                <w:szCs w:val="20"/>
                <w:color w:val="auto"/>
              </w:rPr>
            </w:pPr>
            <w:r>
              <w:rPr>
                <w:rFonts w:ascii="Times New Roman" w:cs="Times New Roman" w:eastAsia="Times New Roman" w:hAnsi="Times New Roman"/>
                <w:sz w:val="18"/>
                <w:szCs w:val="18"/>
                <w:color w:val="0000EE"/>
              </w:rPr>
              <w:t>INSIDER TRADING POLICIES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578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88"/>
              </w:rPr>
              <w:t>ITEM 16K.</w:t>
            </w:r>
          </w:p>
        </w:tc>
        <w:tc>
          <w:tcPr>
            <w:tcW w:w="8320" w:type="dxa"/>
            <w:vAlign w:val="bottom"/>
            <w:gridSpan w:val="29"/>
          </w:tcPr>
          <w:p>
            <w:pPr>
              <w:ind w:left="140"/>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PART III</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6040" w:type="dxa"/>
            <w:vAlign w:val="bottom"/>
            <w:gridSpan w:val="2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17.</w:t>
            </w:r>
          </w:p>
        </w:tc>
        <w:tc>
          <w:tcPr>
            <w:tcW w:w="8320" w:type="dxa"/>
            <w:vAlign w:val="bottom"/>
            <w:gridSpan w:val="29"/>
          </w:tcPr>
          <w:p>
            <w:pPr>
              <w:ind w:left="140"/>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6040" w:type="dxa"/>
            <w:vAlign w:val="bottom"/>
            <w:gridSpan w:val="2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18.</w:t>
            </w:r>
          </w:p>
        </w:tc>
        <w:tc>
          <w:tcPr>
            <w:tcW w:w="8320" w:type="dxa"/>
            <w:vAlign w:val="bottom"/>
            <w:gridSpan w:val="29"/>
          </w:tcPr>
          <w:p>
            <w:pPr>
              <w:ind w:left="140"/>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6040" w:type="dxa"/>
            <w:vAlign w:val="bottom"/>
            <w:gridSpan w:val="2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19.</w:t>
            </w:r>
          </w:p>
        </w:tc>
        <w:tc>
          <w:tcPr>
            <w:tcW w:w="8320" w:type="dxa"/>
            <w:vAlign w:val="bottom"/>
            <w:gridSpan w:val="29"/>
          </w:tcPr>
          <w:p>
            <w:pPr>
              <w:ind w:left="140"/>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we indicate otherwise, all information in this annual report reflects the following:</w:t>
      </w:r>
    </w:p>
    <w:p>
      <w:pPr>
        <w:spacing w:after="0" w:line="225" w:lineRule="exact"/>
        <w:rPr>
          <w:sz w:val="20"/>
          <w:szCs w:val="20"/>
          <w:color w:val="auto"/>
        </w:rPr>
      </w:pPr>
    </w:p>
    <w:p>
      <w:pPr>
        <w:ind w:left="1000" w:right="240" w:hanging="317"/>
        <w:spacing w:after="0" w:line="297"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“2016 Share Plan” refers to our share-based awards scheme adopted in November 2016 and amended in 2019 and 2020, respectively;</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“2026 Share Scheme” refers to our employee equity incentive scheme adopted on April 2, 2026;</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“ADAS” refers to advanced driver-assistance system;</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the American depositary shares, each representing Class A ordinary shares;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refers to artificial intelligence;</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“Alipay” refers to Alipay.com Co., Ltd. and its subsidiaries and/or affiliates;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“Amap” refers to Amap Software Co., Ltd. and its subsidiaries and/or affiliates;</w:t>
      </w:r>
    </w:p>
    <w:p>
      <w:pPr>
        <w:spacing w:after="0" w:line="238" w:lineRule="exact"/>
        <w:rPr>
          <w:rFonts w:ascii="Times New Roman" w:cs="Times New Roman" w:eastAsia="Times New Roman" w:hAnsi="Times New Roman"/>
          <w:sz w:val="18"/>
          <w:szCs w:val="18"/>
          <w:color w:val="auto"/>
        </w:rPr>
      </w:pPr>
    </w:p>
    <w:p>
      <w:pPr>
        <w:ind w:left="1000" w:right="40" w:hanging="317"/>
        <w:spacing w:after="0" w:line="297"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“autonomous driving mileage” refers to the total distance covered by vehicles driving autonomously both with and without the presence of a safety driver behind the driving wheel;</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 refers to autonomous vehicle;</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(HX) Pony” refers to Beijing (HX) Pony.AI Technology Co., Ltd.;</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(ZX) Pony” refers to Beijing (ZX) Pony.AI Technology Co., Ltd.;</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“Cainiao” refers to Cainiao Smart Logistics Network Limited and its subsidiaries and/or affiliates;</w:t>
      </w:r>
    </w:p>
    <w:p>
      <w:pPr>
        <w:spacing w:after="0" w:line="238" w:lineRule="exact"/>
        <w:rPr>
          <w:rFonts w:ascii="Times New Roman" w:cs="Times New Roman" w:eastAsia="Times New Roman" w:hAnsi="Times New Roman"/>
          <w:sz w:val="18"/>
          <w:szCs w:val="18"/>
          <w:color w:val="auto"/>
        </w:rPr>
      </w:pPr>
    </w:p>
    <w:p>
      <w:pPr>
        <w:ind w:left="1000" w:hanging="317"/>
        <w:spacing w:after="0" w:line="297"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“PRC” refers to the People’s Republic of China and only in the context of describing PRC laws, regulations and other legal or tax matters in this annual report, excludes Hong Kong, Macau and Taiwan;</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“CIFA” refers to China International Freight Forwarders Association;</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 refers to our Class A ordinary shares, par value US$0.0005 per share;</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 refers to our Class B ordinary shares, par value US$0.0005 per share;</w:t>
      </w:r>
    </w:p>
    <w:p>
      <w:pPr>
        <w:spacing w:after="0" w:line="238" w:lineRule="exact"/>
        <w:rPr>
          <w:rFonts w:ascii="Times New Roman" w:cs="Times New Roman" w:eastAsia="Times New Roman" w:hAnsi="Times New Roman"/>
          <w:sz w:val="18"/>
          <w:szCs w:val="18"/>
          <w:color w:val="auto"/>
        </w:rPr>
      </w:pPr>
    </w:p>
    <w:p>
      <w:pPr>
        <w:ind w:left="1000" w:right="440" w:hanging="317"/>
        <w:spacing w:after="0" w:line="297"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“CPU” refers to a computer’s central processing unit, which is the portion of the computer that retrieves and executes instructions;</w:t>
      </w:r>
    </w:p>
    <w:p>
      <w:pPr>
        <w:spacing w:after="0" w:line="162" w:lineRule="exact"/>
        <w:rPr>
          <w:rFonts w:ascii="Times New Roman" w:cs="Times New Roman" w:eastAsia="Times New Roman" w:hAnsi="Times New Roman"/>
          <w:sz w:val="18"/>
          <w:szCs w:val="18"/>
          <w:color w:val="auto"/>
        </w:rPr>
      </w:pPr>
    </w:p>
    <w:p>
      <w:pPr>
        <w:ind w:left="1000" w:right="640" w:hanging="317"/>
        <w:spacing w:after="0" w:line="281"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“freight ton-kilometers” is a metric used to measure the total amount of freight transported by a particular mode of transport over a specified distance; when calculating the freight ton-kilometers for our robotrucks, based on our management’s estimate of the carrying tons of cargo transportable by our robotrucks;</w:t>
      </w:r>
    </w:p>
    <w:p>
      <w:pPr>
        <w:spacing w:after="0" w:line="17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“GAC” refers to Guangzhou Automobile Group Co., Ltd. and its subsidiaries and/or affiliates;</w:t>
      </w:r>
    </w:p>
    <w:p>
      <w:pPr>
        <w:spacing w:after="0" w:line="238" w:lineRule="exact"/>
        <w:rPr>
          <w:rFonts w:ascii="Times New Roman" w:cs="Times New Roman" w:eastAsia="Times New Roman" w:hAnsi="Times New Roman"/>
          <w:sz w:val="18"/>
          <w:szCs w:val="18"/>
          <w:color w:val="auto"/>
        </w:rPr>
      </w:pPr>
    </w:p>
    <w:p>
      <w:pPr>
        <w:ind w:left="1000" w:right="380" w:hanging="317"/>
        <w:spacing w:after="0" w:line="297"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“GNSS,” also known as global navigation satellite system, refers to a constellation of satellites providing signals from space that transmit positioning and timing data to receivers;</w:t>
      </w: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240" w:hanging="317"/>
        <w:spacing w:after="0" w:line="297"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“GPU” refers to graphics processing unit, a specialized electronic circuit designed to rapidly process large amounts of visual data, such as data generated by sensors such as cameras and LiDAR;</w:t>
      </w:r>
    </w:p>
    <w:p>
      <w:pPr>
        <w:spacing w:after="0" w:line="162" w:lineRule="exact"/>
        <w:rPr>
          <w:rFonts w:ascii="Times New Roman" w:cs="Times New Roman" w:eastAsia="Times New Roman" w:hAnsi="Times New Roman"/>
          <w:sz w:val="18"/>
          <w:szCs w:val="18"/>
          <w:color w:val="auto"/>
        </w:rPr>
      </w:pPr>
    </w:p>
    <w:p>
      <w:pPr>
        <w:ind w:left="1000" w:right="120" w:hanging="317"/>
        <w:spacing w:after="0" w:line="297"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“GTMC” refers to GAC Toyota Motor Co., Ltd., a joint venture formed by GAC and Toyota, and its subsidiaries and/or affiliates;</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“Guangzhou (HX) Pony” refers to Guangzhou (HX) Pony.AI Technology Co., Ltd.;</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“Guangzhou (ZX) Pony” refers to Guangzhou (ZX) Pony.AI Technology Co., Ltd.;</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Stock Exchange” refers to the Stock Exchange of Hong Kong Limited</w:t>
      </w:r>
    </w:p>
    <w:p>
      <w:pPr>
        <w:spacing w:after="0" w:line="238" w:lineRule="exact"/>
        <w:rPr>
          <w:rFonts w:ascii="Times New Roman" w:cs="Times New Roman" w:eastAsia="Times New Roman" w:hAnsi="Times New Roman"/>
          <w:sz w:val="18"/>
          <w:szCs w:val="18"/>
          <w:color w:val="auto"/>
        </w:rPr>
      </w:pPr>
    </w:p>
    <w:p>
      <w:pPr>
        <w:ind w:left="1000" w:right="540" w:hanging="317"/>
        <w:spacing w:after="0" w:line="297"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“HKSCC” refers to Hong Kong Securities Clearing Company Limited, a wholly-owned subsidiary of Hong Kong Exchanges and Clearing Limited;</w:t>
      </w:r>
    </w:p>
    <w:p>
      <w:pPr>
        <w:spacing w:after="0" w:line="162" w:lineRule="exact"/>
        <w:rPr>
          <w:rFonts w:ascii="Times New Roman" w:cs="Times New Roman" w:eastAsia="Times New Roman" w:hAnsi="Times New Roman"/>
          <w:sz w:val="18"/>
          <w:szCs w:val="18"/>
          <w:color w:val="auto"/>
        </w:rPr>
      </w:pPr>
    </w:p>
    <w:p>
      <w:pPr>
        <w:ind w:left="1000" w:right="280" w:hanging="317"/>
        <w:spacing w:after="0" w:line="28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“IMU,” or inertial measurement unit, refers to an electronic device that measures and reports a vehicle’s acceleration, angular rate, and sometimes its magnetic field, using a combination of accelerometers, gyroscopes, and sometimes magnetometers;</w:t>
      </w:r>
    </w:p>
    <w:p>
      <w:pPr>
        <w:spacing w:after="0" w:line="177" w:lineRule="exact"/>
        <w:rPr>
          <w:rFonts w:ascii="Times New Roman" w:cs="Times New Roman" w:eastAsia="Times New Roman" w:hAnsi="Times New Roman"/>
          <w:sz w:val="18"/>
          <w:szCs w:val="18"/>
          <w:color w:val="auto"/>
        </w:rPr>
      </w:pPr>
    </w:p>
    <w:p>
      <w:pPr>
        <w:ind w:left="1000" w:hanging="317"/>
        <w:spacing w:after="0" w:line="297"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“LiDAR,” also known as light detection and ranging, refers to a sensor that uses lasers to detect and measure distances to objects in the environment;</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“Listing” refers to the listing of our Class A ordinary shares on the Main Board of the Hong Kong Stock Exchange</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“Meituan” refers to Meituan and its subsidiaries and/or affiliates;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“Neolix” refers to Neolix Technologies Co., Ltd. and its subsidiaries and/or affiliates;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“NHTSA” refers to the National Highway Traffic Safety Administration;</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“NVIDIA” refers to NVIDIA Corporation and its subsidiaries and/or affiliates;</w:t>
      </w:r>
    </w:p>
    <w:p>
      <w:pPr>
        <w:spacing w:after="0" w:line="238" w:lineRule="exact"/>
        <w:rPr>
          <w:rFonts w:ascii="Times New Roman" w:cs="Times New Roman" w:eastAsia="Times New Roman" w:hAnsi="Times New Roman"/>
          <w:sz w:val="18"/>
          <w:szCs w:val="18"/>
          <w:color w:val="auto"/>
        </w:rPr>
      </w:pPr>
    </w:p>
    <w:p>
      <w:pPr>
        <w:ind w:left="1000" w:right="240" w:hanging="317"/>
        <w:spacing w:after="0" w:line="297"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“OEMs,” also known as original equipment manufacturers, refers to vehicle and other manufacturers in the context of autonomous driving;</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“OnTime Mobility” refers to Chenqi Technology Limited and its subsidiaries and/or affiliates;</w:t>
      </w:r>
    </w:p>
    <w:p>
      <w:pPr>
        <w:spacing w:after="0" w:line="238" w:lineRule="exact"/>
        <w:rPr>
          <w:rFonts w:ascii="Times New Roman" w:cs="Times New Roman" w:eastAsia="Times New Roman" w:hAnsi="Times New Roman"/>
          <w:sz w:val="18"/>
          <w:szCs w:val="18"/>
          <w:color w:val="auto"/>
        </w:rPr>
      </w:pPr>
    </w:p>
    <w:p>
      <w:pPr>
        <w:ind w:left="1000" w:right="60" w:hanging="317"/>
        <w:spacing w:after="0" w:line="28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“Pony,” “we,” “us,” “our company,” and “our” refer to Pony AI Inc., a Cayman Islands exempted company and its subsidiaries. When referring to our historical consolidated financial information, business operations and operating data, the results of the former VIEs are included in such historical information and data;</w:t>
      </w:r>
    </w:p>
    <w:p>
      <w:pPr>
        <w:spacing w:after="0" w:line="17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“POV” refers to personally-owned vehicles;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refers to the legal currency of the People’s Republic of China;</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“SANY” refers to SANY Group and its subsidiaries and/or affiliates;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“SAIC” refers to SAIC Motor and its subsidiaries and/or affiliates;</w:t>
      </w:r>
    </w:p>
    <w:p>
      <w:pPr>
        <w:spacing w:after="0" w:line="238" w:lineRule="exact"/>
        <w:rPr>
          <w:rFonts w:ascii="Times New Roman" w:cs="Times New Roman" w:eastAsia="Times New Roman" w:hAnsi="Times New Roman"/>
          <w:sz w:val="18"/>
          <w:szCs w:val="18"/>
          <w:color w:val="auto"/>
        </w:rPr>
      </w:pPr>
    </w:p>
    <w:p>
      <w:pPr>
        <w:ind w:left="1000" w:right="80" w:hanging="317"/>
        <w:spacing w:after="0" w:line="297"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“ordinary shares” refer to our Class A ordinary shares and Class B ordinary shares, par value US$0.0005 per share;</w:t>
      </w:r>
    </w:p>
    <w:p>
      <w:pPr>
        <w:spacing w:after="0" w:line="37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40"/>
          </w:cols>
          <w:pgMar w:left="980" w:top="513" w:right="11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“Sinotrans” refers to Sinotrans Limited and all its subsidiaries and/or affiliates;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“Tier-1 cities” refers to Beijing, Shanghai, Guangzhou and Shenzhen;</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“TNCs” refers to transportation network companies, including online platforms offering mobility and ride hailing services;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“Toyota” refers to Toyota Motor Corporation and its subsidiaries and/or affiliates;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“dollars” or “U.S. dollars” refers to the legal currency of the United States;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refers to the accounting principles generally accepted in the United States of America;</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VIEs” refers to Beijing (ZX) Pony and Guangzhou (ZX) Pony and their subsidiaries; and</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WFOEs” refers to Beijing (HX) Pony and Guangzhou (HX) Pony.</w:t>
      </w:r>
    </w:p>
    <w:p>
      <w:pPr>
        <w:spacing w:after="0" w:line="23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Unless otherwise noted, all translations from Renminbi to U.S. dollars and from U.S. dollars to Renminbi in this annual report are made at RMB6.9931 to US$1.00, the exchange rate set forth in the H.10 statistical release of the Federal Reserve Board on December 31, 2025. We make no representation that any Renminbi or U.S. dollar amounts could have been, or could be, converted into U.S. dollars or Renminbi, as the case may be, at any particular rate,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This annual report contains statements that constitute forward-looking statements. Many of the forward-looking statements contained in this annual report can be identified by the use of forward-looking words such as “anticipate,” “believe,” “could,” “expect,” “should,” “plan,” “intend,” “estimate” and “potential,” among others.</w:t>
      </w:r>
    </w:p>
    <w:p>
      <w:pPr>
        <w:spacing w:after="0" w:line="176"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Forward-looking statements appear in a number of places in this annual report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“Item 3. Key Information—3.D. Risk Factors” in this annual report. These risks and uncertainties include factors relating to:</w:t>
      </w:r>
    </w:p>
    <w:p>
      <w:pPr>
        <w:spacing w:after="0" w:line="187" w:lineRule="exact"/>
        <w:rPr>
          <w:sz w:val="20"/>
          <w:szCs w:val="20"/>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demographic and business conditions in China and globally;</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go-to-market strategies;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 and results of the large-scale commercialization of our robotaxi and robotruck services;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relationships with our existing and future business partners, customers and suppliers;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in the future;</w:t>
      </w:r>
    </w:p>
    <w:p>
      <w:pPr>
        <w:spacing w:after="0" w:line="238" w:lineRule="exact"/>
        <w:rPr>
          <w:rFonts w:ascii="Times New Roman" w:cs="Times New Roman" w:eastAsia="Times New Roman" w:hAnsi="Times New Roman"/>
          <w:sz w:val="18"/>
          <w:szCs w:val="18"/>
          <w:color w:val="auto"/>
        </w:rPr>
      </w:pPr>
    </w:p>
    <w:p>
      <w:pPr>
        <w:ind w:left="1000" w:right="260" w:hanging="317"/>
        <w:spacing w:after="0" w:line="297"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operating initiatives, including business development efforts and new solution development by us and our competitors;</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apply our technologies to support and expand our solution offerings;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qualified personnel and the ability to retain such personnel;</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the autonomous driving industry in China and globally;</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autonomous driving industry in China and globally;</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policies and regulation;</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may affect our financial condition, liquidity and results of operations; and</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under “Item 3. Key Information—3.D. Risk Factors.”</w:t>
      </w:r>
    </w:p>
    <w:p>
      <w:pPr>
        <w:spacing w:after="0" w:line="23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light of the significant uncertainties in these forward-looking statements, you should not regard these statement as a representation or warranty by us or any other person that we will achieve our objectives and plans in any specified time frame, or at all. 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820"/>
          </w:cols>
          <w:pgMar w:left="980" w:top="513"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IDENTITY OF DIRECTORS, SENIOR MANAGEMENT AND ADVISERS</w:t>
      </w:r>
    </w:p>
    <w:p>
      <w:pPr>
        <w:spacing w:after="0" w:line="200" w:lineRule="exact"/>
        <w:rPr>
          <w:sz w:val="20"/>
          <w:szCs w:val="20"/>
          <w:color w:val="auto"/>
        </w:rPr>
      </w:pPr>
    </w:p>
    <w:p>
      <w:pPr>
        <w:sectPr>
          <w:pgSz w:w="11900" w:h="16838" w:orient="portrait"/>
          <w:cols w:equalWidth="0" w:num="2">
            <w:col w:w="660" w:space="320"/>
            <w:col w:w="8840"/>
          </w:cols>
          <w:pgMar w:left="980" w:top="513" w:right="1099" w:bottom="1440" w:gutter="0" w:footer="0" w:header="0"/>
          <w:type w:val="continuous"/>
        </w:sectPr>
      </w:pPr>
    </w:p>
    <w:p>
      <w:pPr>
        <w:spacing w:after="0" w:line="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9820"/>
          </w:cols>
          <w:pgMar w:left="980" w:top="513" w:right="109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OFFER STATISTICS AND EXPECTED TIMETABLE</w:t>
      </w:r>
    </w:p>
    <w:p>
      <w:pPr>
        <w:spacing w:after="0" w:line="211" w:lineRule="exact"/>
        <w:rPr>
          <w:sz w:val="20"/>
          <w:szCs w:val="20"/>
          <w:color w:val="auto"/>
        </w:rPr>
      </w:pPr>
    </w:p>
    <w:p>
      <w:pPr>
        <w:sectPr>
          <w:pgSz w:w="11900" w:h="16838" w:orient="portrait"/>
          <w:cols w:equalWidth="0" w:num="2">
            <w:col w:w="660" w:space="320"/>
            <w:col w:w="8840"/>
          </w:cols>
          <w:pgMar w:left="980" w:top="513" w:right="1099" w:bottom="1440" w:gutter="0" w:footer="0" w:header="0"/>
          <w:type w:val="continuous"/>
        </w:sectPr>
      </w:pPr>
    </w:p>
    <w:p>
      <w:pPr>
        <w:spacing w:after="0" w:line="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KEY INFORMATION</w:t>
      </w:r>
    </w:p>
    <w:p>
      <w:pPr>
        <w:sectPr>
          <w:pgSz w:w="11900" w:h="16838" w:orient="portrait"/>
          <w:cols w:equalWidth="0" w:num="1">
            <w:col w:w="9820"/>
          </w:cols>
          <w:pgMar w:left="980" w:top="513" w:right="109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Structure and Former VIE Structure</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Pony AI Inc. is a Cayman Islands holding company which does not have any substantive business operations by itself. In China, Pony AI Inc. conducts operations through its PRC subsidiaries. Historically, Pony AI Inc. also operated its business in China through its former consolidated variable interest entities (the “</w:t>
      </w:r>
      <w:r>
        <w:rPr>
          <w:rFonts w:ascii="Times New Roman" w:cs="Times New Roman" w:eastAsia="Times New Roman" w:hAnsi="Times New Roman"/>
          <w:sz w:val="18"/>
          <w:szCs w:val="18"/>
          <w:b w:val="1"/>
          <w:bCs w:val="1"/>
          <w:color w:val="auto"/>
        </w:rPr>
        <w:t>former VIEs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former VIE Entities</w:t>
      </w:r>
      <w:r>
        <w:rPr>
          <w:rFonts w:ascii="Times New Roman" w:cs="Times New Roman" w:eastAsia="Times New Roman" w:hAnsi="Times New Roman"/>
          <w:sz w:val="18"/>
          <w:szCs w:val="18"/>
          <w:color w:val="auto"/>
        </w:rPr>
        <w:t>”). The former VIEs were owned by certain nominee shareholders, not Pony AI Inc. The former VIEs were consolidated for accounting purpose only and Pony AI Inc. did not own any equity interest in the former VIEs.</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business is permitted under the applicable PRC foreign investment regulations and no part of our business falls under either the prohibited or restricted categories under the PRC Special Administrative Measures (Negative List) for the Access of Foreign Investment (2024 Version). Additionally, the development and application of autonomous driving system is included in the PRC Catalogue of Encouraged Industries for Foreign Investment (2022 Version) as an industry in China where foreign investments are proactively encouraged. Our former VIEs, before the termination of their VIE arrangements, did not engage in any business or hold any license that is subject to PRC foreign investment restrictions or prohibitions. We initially established these former VIEs solely for the purposes of preserving the flexibility to potentially engage in future business that may be subject to such PRC restrictions or prohibitions (although we have never engaged in such business to date).</w:t>
      </w:r>
    </w:p>
    <w:p>
      <w:pPr>
        <w:spacing w:after="0" w:line="19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To provide more regulatory certainty to investors, we terminated the contractual arrangements among our former WFOEs, the former VIEs and their respective nominee shareholders, and acquired the shares of the former VIEs from their respective nominee shareholders, after which the former VIEs have become wholly-owned subsidiaries of our company since February 2024. There has not been any change to the nature or extent of the former VIEs’ business activities after the termination of the VIE arrangements and this termination did not involve the transfer of any operation, technology or license of the former VIEs to any third party.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United States, Pony AI Inc. operates its business through Pony.AI, Inc, a Delaware corporation.</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3" w:right="10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chart shows our corporate structure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291465</wp:posOffset>
            </wp:positionV>
            <wp:extent cx="5923280" cy="27432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2328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w:t>
      </w:r>
    </w:p>
    <w:p>
      <w:pPr>
        <w:spacing w:after="0" w:line="217" w:lineRule="exact"/>
        <w:rPr>
          <w:sz w:val="20"/>
          <w:szCs w:val="20"/>
          <w:color w:val="auto"/>
        </w:rPr>
      </w:pPr>
    </w:p>
    <w:p>
      <w:pPr>
        <w:ind w:left="440" w:right="80" w:hanging="432"/>
        <w:spacing w:after="0" w:line="322" w:lineRule="auto"/>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2022, Cyantron Logistics Technology Co., Ltd. was incorporated under the laws of the PRC. Shareholders of Cyantron Logistics Technology Co., Ltd. are Beijing (HX) Pony and Sinotrans, each holding 51.0% and 49.0% of its equity interests, respectively.</w:t>
      </w:r>
    </w:p>
    <w:p>
      <w:pPr>
        <w:spacing w:after="0" w:line="148" w:lineRule="exact"/>
        <w:rPr>
          <w:rFonts w:ascii="Times New Roman" w:cs="Times New Roman" w:eastAsia="Times New Roman" w:hAnsi="Times New Roman"/>
          <w:sz w:val="14"/>
          <w:szCs w:val="14"/>
          <w:color w:val="auto"/>
        </w:rPr>
      </w:pPr>
    </w:p>
    <w:p>
      <w:pPr>
        <w:ind w:left="460" w:right="40" w:hanging="452"/>
        <w:spacing w:after="0" w:line="292" w:lineRule="auto"/>
        <w:tabs>
          <w:tab w:leader="none" w:pos="4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Yancheng Poplar LLP is a limited partnership incorporated under the laws of the PRC. Beijing (ZX) Pony AI Technology Co., Ltd. is the general partner of Yancheng Poplar LLP, holding approximately 62% of its interest. The remaining 38% interest in Yancheng Poplar LLP is held by another limited partnership as the limited partner.</w:t>
      </w:r>
    </w:p>
    <w:p>
      <w:pPr>
        <w:spacing w:after="0" w:line="181" w:lineRule="exact"/>
        <w:rPr>
          <w:rFonts w:ascii="Times New Roman" w:cs="Times New Roman" w:eastAsia="Times New Roman" w:hAnsi="Times New Roman"/>
          <w:sz w:val="14"/>
          <w:szCs w:val="14"/>
          <w:color w:val="auto"/>
        </w:rPr>
      </w:pPr>
    </w:p>
    <w:p>
      <w:pPr>
        <w:ind w:left="460" w:hanging="452"/>
        <w:spacing w:after="0" w:line="322" w:lineRule="auto"/>
        <w:tabs>
          <w:tab w:leader="none" w:pos="4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Hongkong Pony AI Limited has another two wholly-owned subsidiaries, including Company Pony AI (registered in Saudi Arabia) and PONY AI-FZCO (registered in United Arab Emirates).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Risks Associated with Our Corporate Structure</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Pony AI Inc. is an exempted company incorporated under the laws of the Cayman Islands that conducts a material portion of its operations in China through subsidiaries incorporated in the PRC. In addition, all our senior executive officers reside within China for a significant portion of the time. As a result, it may be difficult for our shareholders to effect service of process upon us or those persons inside China.</w:t>
      </w:r>
    </w:p>
    <w:p>
      <w:pPr>
        <w:spacing w:after="0" w:line="180"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treaties providing for the reciprocal recognition and enforcement of judgments of courts with the United States, the Cayman Islands or many other countries and regions. Therefore, recognition and enforcement in China of judgments of a court in any of these non-PRC jurisdictions in relation to any matter not subject to a binding arbitration provision may be difficult or impossible. In addition, according to the PRC Civil Procedures Law, the PRC courts will not enforce a foreign judgment if it is decided as having violated the basic principles of PRC laws or national sovereignty, security or public interest. As a result, it is uncertain whether and on what basis a PRC court would enforce a judgment rendered by a court in the United States or the Cayman Islands.</w:t>
      </w:r>
    </w:p>
    <w:p>
      <w:pPr>
        <w:spacing w:after="0" w:line="18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SEC, U.S. Department of Justice and other U.S. authorities often have substantial difficulties in bringing and enforcing actions against non-U.S. companies and non-U.S. persons, including company directors and officers, in certain emerging markets, including China. Legal and other obstacles to obtaining information needed for investigations or litigation or to obtaining access to funds outside the United States, lack of support from local authorities, and other various factors make it difficult for the U.S. authorities to pursue actions against non-U.S. companies and individuals, who may have engaged in fraud or other wrongdoing. Additionally, public shareholders investing in the ADSs have limited rights and few practical remedies in emerging markets where we operate, as shareholder claims that are common in the United States, including class actions under securities law and fraud claims, generally are difficult or impossible to pursue as a matter of law or practicality in many emerging markets, including China.</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PRC regulatory authorities have significant oversight and discretion over the conduct of our business and may intervene with or influence our operations as they deem appropriate to further economic, regulatory, political and societal goals. The PRC regulatory authorities have recently published new policies that affected certain industries with respect to matters such as cybersecurity, data privacy, antitrust and competition, foreign investments, and overseas listings, and we cannot rule out the possibility that it will in the future release regulations or policies regarding our industry that could adversely affect our business, financial condition and results of operations. Furthermore, the PRC regulatory authority has recently issued new laws and regulations to exert more oversight and control over overseas securities offerings and other capital markets activities and foreign investment in China-based companies like us. Any such action, once taken by the PRC regulatory authority, could significantly limit or completely hinder our ability to offer or continue to offer securities to investors and cause the value of such securities to significantly decline or in extreme cases, become worthless.</w:t>
      </w:r>
    </w:p>
    <w:p>
      <w:pPr>
        <w:spacing w:after="0" w:line="18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To the extent our cash in the business is in the PRC or a PRC entity, the funds may not be available to distribute dividends to our investors, or for other use outside of the PRC, due to interventions in or the imposition of restrictions and limitations on the ability of us or our subsidiaries by the PRC regulatory authority to transfer cash. The PRC regulatory authority imposes controls on the convertibility of Renminbi into foreign currencies and, in certain cases, the remittance of currency out of China. Our cash dividends, if any, will be paid in U.S. dollars. As a consequence, we might not be able to pay dividends in foreign currencies to our shareholders. If we are considered a PRC tax resident enterprise for tax purposes, any dividends we pay to our overseas shareholders may be regarded as China-sourced income and as a result may be subject to PRC withholding tax. In addition, relevant PRC laws and regulations permit the PRC companies to pay dividends only out of their retained earnings, if any, as determined in accordance with PRC accounting standards and regulations. Our company’s PRC subsidiaries may pay dividends only out of their accumulated after-tax profits upon satisfaction of relevant statutory conditions and procedures, if any, determined in accordance with Chinese accounting standards and regulations; each of the PRC subsidiaries is required to set aside at least 10% of its after-tax profits each year, if any, to fund certain reserve funds until the total amount set aside reaches 50% of its registered capital. Additionally, our PRC subsidiaries can only distribute dividends upon approval of the shareholders after they have met the PRC requirements for appropriation to the statutory reserves. Such laws and regulations would limit our ability to transfer cash between our company and our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Furthermore, if certain procedural requirements are satisfied, the payment of current account items, including profit distributions and trade and service related foreign exchange transactions, can be made in foreign currencies without prior approval from State Administration of Foreign Exchange (the “</w:t>
      </w:r>
      <w:r>
        <w:rPr>
          <w:rFonts w:ascii="Times New Roman" w:cs="Times New Roman" w:eastAsia="Times New Roman" w:hAnsi="Times New Roman"/>
          <w:sz w:val="18"/>
          <w:szCs w:val="18"/>
          <w:b w:val="1"/>
          <w:bCs w:val="1"/>
          <w:color w:val="auto"/>
        </w:rPr>
        <w:t>SAFE</w:t>
      </w:r>
      <w:r>
        <w:rPr>
          <w:rFonts w:ascii="Times New Roman" w:cs="Times New Roman" w:eastAsia="Times New Roman" w:hAnsi="Times New Roman"/>
          <w:sz w:val="18"/>
          <w:szCs w:val="18"/>
          <w:color w:val="auto"/>
        </w:rPr>
        <w:t>”) or its local branches. However, where RMB is to be converted into foreign currency and remitted out of China to pay capital expenses, such as the repayment of loans denominated in foreign currencies, approval from or registration with competent government authorities or its authorized banks is required. Access to foreign currencies for current account or capital account transactions may be further restricted in the future as the applicable laws, regulations and policies evolve. If the foreign exchange control system prevents us from obtaining sufficient foreign currencies to satisfy our foreign currency demands, we may not be able to pay dividends in foreign currencies to our offshore intermediary holding companies or ultimate parent company, and therefore, our shareholders or investors in the ADSs. Further, we cannot assure you that new regulations or policies will not be promulgated in the future, which may further restrict the remittance of RMB into or out of the PRC. We cannot assure you, in light of the restrictions in place, or any amendment to be made from time to time, that our current or future PRC subsidiaries will be able to satisfy their respective payment obligations that are denominated in foreign currencies, including the remittance of dividends outside of the PRC. If any of our subsidiaries incurs debt on its own behalf in the future, the instruments governing such debt may restrict its ability to pay dividends to Pony AI Inc. In addition, our PRC subsidiaries are required to make appropriations to certain statutory reserve funds, which are not distributable as cash dividends except in the event of a solvent liquidation of the companies.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Funds and Other Assets</w:t>
      </w:r>
    </w:p>
    <w:p>
      <w:pPr>
        <w:spacing w:after="0" w:line="229" w:lineRule="exact"/>
        <w:rPr>
          <w:sz w:val="20"/>
          <w:szCs w:val="20"/>
          <w:color w:val="auto"/>
        </w:rPr>
      </w:pPr>
    </w:p>
    <w:p>
      <w:pPr>
        <w:ind w:right="80" w:firstLine="441"/>
        <w:spacing w:after="0" w:line="254" w:lineRule="auto"/>
        <w:rPr>
          <w:sz w:val="20"/>
          <w:szCs w:val="20"/>
          <w:color w:val="auto"/>
        </w:rPr>
      </w:pPr>
      <w:r>
        <w:rPr>
          <w:rFonts w:ascii="Times New Roman" w:cs="Times New Roman" w:eastAsia="Times New Roman" w:hAnsi="Times New Roman"/>
          <w:sz w:val="18"/>
          <w:szCs w:val="18"/>
          <w:color w:val="auto"/>
        </w:rPr>
        <w:t xml:space="preserve">Pony AI Inc. transfers cash to Hongkong Pony AI Limited, its wholly-owned Hong Kong subsidiary, through primarily loans, and Hongkong Pony AI Limited transfers cash to our PRC subsidiaries through capital contributions and loans. Because Pony AI Inc. and its subsidiaries previously controlled the former VIEs through contractual arrangements, they were not able to make direct capital contributions to the former VIEs. However, under relevant PRC laws and regulations, they were permitted to remit funds to the former VIEs through loans or by making payment to the former VIEs for intragroup transactions. Hongkong Pony AI, one of our subsidiaries, offered a loan of US$105.0 million to Beijing (ZX) Pony, one of the former VIEs, to support our business expansion in China, out of which nil and </w:t>
      </w:r>
      <w:r>
        <w:rPr>
          <w:rFonts w:ascii="Times New Roman" w:cs="Times New Roman" w:eastAsia="Times New Roman" w:hAnsi="Times New Roman"/>
          <w:sz w:val="18"/>
          <w:szCs w:val="18"/>
          <w:color w:val="231F20"/>
        </w:rPr>
        <w:t>nil</w:t>
      </w:r>
      <w:r>
        <w:rPr>
          <w:rFonts w:ascii="Times New Roman" w:cs="Times New Roman" w:eastAsia="Times New Roman" w:hAnsi="Times New Roman"/>
          <w:sz w:val="18"/>
          <w:szCs w:val="18"/>
          <w:color w:val="auto"/>
        </w:rPr>
        <w:t xml:space="preserve"> was drawn down by Beijing (ZX) Pony in 2023 and 2024, respectively. The former VIEs funded their operations primarily using cash generated from operating and financing activities.</w:t>
      </w:r>
    </w:p>
    <w:p>
      <w:pPr>
        <w:spacing w:after="0" w:line="57" w:lineRule="exact"/>
        <w:rPr>
          <w:sz w:val="20"/>
          <w:szCs w:val="20"/>
          <w:color w:val="auto"/>
        </w:rPr>
      </w:pPr>
    </w:p>
    <w:p>
      <w:pPr>
        <w:ind w:right="120" w:firstLine="441"/>
        <w:spacing w:after="0" w:line="255" w:lineRule="auto"/>
        <w:rPr>
          <w:sz w:val="20"/>
          <w:szCs w:val="20"/>
          <w:color w:val="auto"/>
        </w:rPr>
      </w:pPr>
      <w:r>
        <w:rPr>
          <w:rFonts w:ascii="Times New Roman" w:cs="Times New Roman" w:eastAsia="Times New Roman" w:hAnsi="Times New Roman"/>
          <w:sz w:val="18"/>
          <w:szCs w:val="18"/>
          <w:color w:val="auto"/>
        </w:rPr>
        <w:t>In 2023 and 2024, Pony AI Inc. provided loans to Hongkong Pony AI Limited in an aggregate amount of US$96.1 million and US$136.5 million, respectively, which were used by Hongkong Pony AI Limited to fund the operations of the Company’s PRC subsidiaries and the former VIEs through capital contributions and loans. In 2023 and 2024, the former VIEs received debt financing of nil and nil, respectively. Beijing (ZX) Pony, one of the former VIEs, repaid the loan of US$5.0 million in June 2024. In 2023 and 2024, Hongkong Pony AI Limited paid in an aggregate amount of US$10.0 million and US$98.0 million, respectively, as capital contribution to former WFOEs as primary beneficiaries. In 2023 and 2024, Beijing (HX) Pony, one of the former WFOEs, paid an aggregate amount of US$4.5 million and US$6.3 million, respectively, as capital contribution to other subsidiaries of Pony AI Inc.</w:t>
      </w:r>
    </w:p>
    <w:p>
      <w:pPr>
        <w:spacing w:after="0" w:line="67"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There were also cash and non-cash assets transferred between the former VIEs and other entities within our organization. Non-cash assets were primarily intellectual property rights, and equipment and facilities. In 2023 and 2024, the total amount of service fees that the former VIEs paid to other entities within our organization was US$3.5 million and US$0.1 million, respectively. In 2023 and 2024, the aggregate amount of the underlying non-cash assets transferred through our organization was nil and nil, respectively.</w:t>
      </w:r>
    </w:p>
    <w:p>
      <w:pPr>
        <w:spacing w:after="0" w:line="58"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For any amounts owed by the former VIEs to our PRC subsidiaries under the prior contractual arrangements, unless otherwise required by PRC tax authorities, we are able to settle such amounts without limitations under the current effective PRC laws and regulations, provided that the former VIEs have sufficient funds to do so. Pony AI Inc. has not previously declared or paid any cash dividend or dividend in kind, and has no plan to declare or pay any dividends in the near future on our shares or the ADSs representing our Class A ordinary shares. None of our PRC subsidiaries have issued any dividends or distributions to their respective holding companies, including Pony AI Inc., or any investors as of the date of this annual report. We currently intend to retain most, if not all, of our available funds and any future earnings to operate and expand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For the purpose of illustration, the below table reflects the hypothetical taxes that might be required to be paid within China, assuming that: (i) we have taxable earnings, and (ii) we determine to pay a dividend in the future:</w:t>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880" w:type="dxa"/>
            <w:vAlign w:val="bottom"/>
          </w:tcPr>
          <w:p>
            <w:pPr>
              <w:ind w:left="5540"/>
              <w:spacing w:after="0"/>
              <w:rPr>
                <w:sz w:val="20"/>
                <w:szCs w:val="20"/>
                <w:color w:val="auto"/>
              </w:rPr>
            </w:pPr>
            <w:r>
              <w:rPr>
                <w:rFonts w:ascii="Times New Roman" w:cs="Times New Roman" w:eastAsia="Times New Roman" w:hAnsi="Times New Roman"/>
                <w:sz w:val="14"/>
                <w:szCs w:val="14"/>
                <w:b w:val="1"/>
                <w:bCs w:val="1"/>
                <w:color w:val="auto"/>
              </w:rPr>
              <w:t>​​​</w:t>
            </w:r>
          </w:p>
        </w:tc>
        <w:tc>
          <w:tcPr>
            <w:tcW w:w="206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Taxation Scenario</w:t>
            </w:r>
          </w:p>
        </w:tc>
      </w:tr>
      <w:tr>
        <w:trPr>
          <w:trHeight w:val="173"/>
        </w:trPr>
        <w:tc>
          <w:tcPr>
            <w:tcW w:w="7940" w:type="dxa"/>
            <w:vAlign w:val="bottom"/>
            <w:gridSpan w:val="2"/>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 Statutory Tax and Standard Rates</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Hypothetical pre-tax earnings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100 %</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Tax on earnings at statutory rate of 25%</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(25)%</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available for distribution</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75 %</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Withholding tax at standard rate of 10%</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(7.5)%</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distribution to Parent/Shareholders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67.5 %</w:t>
            </w:r>
          </w:p>
        </w:tc>
      </w:tr>
    </w:tbl>
    <w:p>
      <w:pPr>
        <w:spacing w:after="0" w:line="198" w:lineRule="exact"/>
        <w:rPr>
          <w:sz w:val="20"/>
          <w:szCs w:val="20"/>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If, in the future, contemplated fee structure between the intercompany entities is determined to be non-substantive and disallowed by Chinese tax authorities, we have other tax-planning strategies that can be deployed on a tax neutral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 and Overseas Financing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Licenses, Permits and Approvals Required for Operations</w:t>
      </w:r>
    </w:p>
    <w:p>
      <w:pPr>
        <w:spacing w:after="0" w:line="229" w:lineRule="exact"/>
        <w:rPr>
          <w:sz w:val="20"/>
          <w:szCs w:val="20"/>
          <w:color w:val="auto"/>
        </w:rPr>
      </w:pPr>
    </w:p>
    <w:p>
      <w:pPr>
        <w:ind w:right="300" w:firstLine="441"/>
        <w:spacing w:after="0" w:line="261" w:lineRule="auto"/>
        <w:rPr>
          <w:sz w:val="20"/>
          <w:szCs w:val="20"/>
          <w:color w:val="auto"/>
        </w:rPr>
      </w:pPr>
      <w:r>
        <w:rPr>
          <w:rFonts w:ascii="Times New Roman" w:cs="Times New Roman" w:eastAsia="Times New Roman" w:hAnsi="Times New Roman"/>
          <w:sz w:val="18"/>
          <w:szCs w:val="18"/>
          <w:color w:val="auto"/>
        </w:rPr>
        <w:t>Except as disclosed in “Risk Factors — Risk Related to Our Business and Industry — We are required to comply with laws and regulations across jurisdictions, including obtaining and maintaining permits and licenses to operate certain aspects of our business operations”, we believe that our PRC subsidiaries have obtained the material requisite licenses and permits from the PRC regulatory authorities that are necessary for their business operations in China.</w:t>
      </w:r>
    </w:p>
    <w:p>
      <w:pPr>
        <w:spacing w:after="0" w:line="180" w:lineRule="exact"/>
        <w:rPr>
          <w:sz w:val="20"/>
          <w:szCs w:val="20"/>
          <w:color w:val="auto"/>
        </w:rPr>
      </w:pPr>
    </w:p>
    <w:p>
      <w:pPr>
        <w:ind w:right="100" w:firstLine="441"/>
        <w:spacing w:after="0" w:line="253" w:lineRule="auto"/>
        <w:rPr>
          <w:sz w:val="20"/>
          <w:szCs w:val="20"/>
          <w:color w:val="auto"/>
        </w:rPr>
      </w:pPr>
      <w:r>
        <w:rPr>
          <w:rFonts w:ascii="Times New Roman" w:cs="Times New Roman" w:eastAsia="Times New Roman" w:hAnsi="Times New Roman"/>
          <w:sz w:val="18"/>
          <w:szCs w:val="18"/>
          <w:color w:val="auto"/>
        </w:rPr>
        <w:t>Given the uncertainties of interpretation and implementation of relevant laws and regulations and the enforcement practice by relevant government authorities, we may be required to obtain additional licenses, permits, filings, or approvals for our business operations in the future. If we are found to be in violation of any existing or future PRC laws or regulations, or fail to obtain or maintain any of the required permits or approvals, the relevant PRC regulatory authorities would have broad discretion to take action in dealing with such violations or failures. In addition, if we had inadvertently concluded that such approvals, permits, registrations or filings were not required, or if applicable laws, regulations or interpretations change in a way that requires us to obtain such approval, permits, registrations or filings in the future, we may be unable to obtain such necessary approvals, permits, registrations or filings in a timely manner, or at all, and such approvals, permits, registrations or filings may be rescinded even if obtained. Any such circumstance may subject us to fines and other regulatory, civil or criminal liabilities, and we may be ordered by the competent government authorities to suspend relevant operations, which will materially and adversely affect our business operation.</w:t>
      </w:r>
    </w:p>
    <w:p>
      <w:pPr>
        <w:spacing w:after="0" w:line="194" w:lineRule="exact"/>
        <w:rPr>
          <w:sz w:val="20"/>
          <w:szCs w:val="20"/>
          <w:color w:val="auto"/>
        </w:rPr>
      </w:pPr>
    </w:p>
    <w:p>
      <w:pPr>
        <w:ind w:right="220" w:firstLine="441"/>
        <w:spacing w:after="0" w:line="258" w:lineRule="auto"/>
        <w:rPr>
          <w:sz w:val="20"/>
          <w:szCs w:val="20"/>
          <w:color w:val="auto"/>
        </w:rPr>
      </w:pPr>
      <w:r>
        <w:rPr>
          <w:rFonts w:ascii="Times New Roman" w:cs="Times New Roman" w:eastAsia="Times New Roman" w:hAnsi="Times New Roman"/>
          <w:sz w:val="18"/>
          <w:szCs w:val="18"/>
          <w:color w:val="auto"/>
        </w:rPr>
        <w:t>For details of the associated risks, see “Risk Factors — Risks Related to Our Business and Industry — Our business is subject to substantial regulations and may be adversely affected by changes in automotive safety regulations or concerns that drive further regulation of the automobile safety market.” and “Risk Factors — Risk Related to Our Business and Industry — We are required to comply with laws and regulations across jurisdictions, including obtaining and maintaining permits and licenses to operate certain aspects of our business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Review</w:t>
      </w:r>
    </w:p>
    <w:p>
      <w:pPr>
        <w:spacing w:after="0" w:line="185"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On December 28, 2021, the Cyberspace Administration of China (the “</w:t>
      </w:r>
      <w:r>
        <w:rPr>
          <w:rFonts w:ascii="Times New Roman" w:cs="Times New Roman" w:eastAsia="Times New Roman" w:hAnsi="Times New Roman"/>
          <w:sz w:val="18"/>
          <w:szCs w:val="18"/>
          <w:b w:val="1"/>
          <w:bCs w:val="1"/>
          <w:color w:val="auto"/>
        </w:rPr>
        <w:t>CAC</w:t>
      </w:r>
      <w:r>
        <w:rPr>
          <w:rFonts w:ascii="Times New Roman" w:cs="Times New Roman" w:eastAsia="Times New Roman" w:hAnsi="Times New Roman"/>
          <w:sz w:val="18"/>
          <w:szCs w:val="18"/>
          <w:color w:val="auto"/>
        </w:rPr>
        <w:t>”) and several other regulatory authorities in China jointly promulgated the amended Cybersecurity Review Measures (the “</w:t>
      </w:r>
      <w:r>
        <w:rPr>
          <w:rFonts w:ascii="Times New Roman" w:cs="Times New Roman" w:eastAsia="Times New Roman" w:hAnsi="Times New Roman"/>
          <w:sz w:val="18"/>
          <w:szCs w:val="18"/>
          <w:b w:val="1"/>
          <w:bCs w:val="1"/>
          <w:color w:val="auto"/>
        </w:rPr>
        <w:t>Cybersecurity Review Measures</w:t>
      </w:r>
      <w:r>
        <w:rPr>
          <w:rFonts w:ascii="Times New Roman" w:cs="Times New Roman" w:eastAsia="Times New Roman" w:hAnsi="Times New Roman"/>
          <w:sz w:val="18"/>
          <w:szCs w:val="18"/>
          <w:color w:val="auto"/>
        </w:rPr>
        <w:t>”), which came into effect on February 15, 2022. Pursuant to the Cybersecurity Review Measures, (i) where the relevant activity affects or may affect national security, a “critical information infrastructure operator that purchases network products and services, or an internet platform operator that conducts data process activities, shall be subject to the cybersecurity review, (ii) an application for the cybersecurity review shall be made by an issuer who is an internet platform operator holding personal information of more than one million users before such issuers apply to list its securities on a foreign stock exchange, and (iii) relevant regulatory authorities in the PRC may initiate cybersecurity review if they determine an operator’s network products or services or data processing activities affect or may affect national security.</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 w:firstLine="441"/>
        <w:spacing w:after="0" w:line="257" w:lineRule="auto"/>
        <w:rPr>
          <w:sz w:val="20"/>
          <w:szCs w:val="20"/>
          <w:color w:val="auto"/>
        </w:rPr>
      </w:pPr>
      <w:r>
        <w:rPr>
          <w:rFonts w:ascii="Times New Roman" w:cs="Times New Roman" w:eastAsia="Times New Roman" w:hAnsi="Times New Roman"/>
          <w:sz w:val="18"/>
          <w:szCs w:val="18"/>
          <w:color w:val="auto"/>
        </w:rPr>
        <w:t>In connection with our initial public offering in November 2024 (the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we received confirmation from the China Cybersecurity Review, Certification and Market Regulation Big Data Center (the “</w:t>
      </w:r>
      <w:r>
        <w:rPr>
          <w:rFonts w:ascii="Times New Roman" w:cs="Times New Roman" w:eastAsia="Times New Roman" w:hAnsi="Times New Roman"/>
          <w:sz w:val="18"/>
          <w:szCs w:val="18"/>
          <w:b w:val="1"/>
          <w:bCs w:val="1"/>
          <w:color w:val="auto"/>
        </w:rPr>
        <w:t>CCRC</w:t>
      </w:r>
      <w:r>
        <w:rPr>
          <w:rFonts w:ascii="Times New Roman" w:cs="Times New Roman" w:eastAsia="Times New Roman" w:hAnsi="Times New Roman"/>
          <w:sz w:val="18"/>
          <w:szCs w:val="18"/>
          <w:color w:val="auto"/>
        </w:rPr>
        <w:t>”) that we are not required to apply for a cybersecurity review in connection with our IPO and listing in the U.S. if we do not possess over one million users’ personal information prior to the completion of our IPO and proposed listing. Accordingly, as the number of users whose personal information is processed by us did not reach one million as of the date of the prospectus used for our IPO, we were not required under the Cybersecurity Review Measures to apply for a cybersecurity review in connection with our IPO and the listing of the ADSs on the Nasdaq.</w:t>
      </w:r>
    </w:p>
    <w:p>
      <w:pPr>
        <w:spacing w:after="0" w:line="186" w:lineRule="exact"/>
        <w:rPr>
          <w:sz w:val="20"/>
          <w:szCs w:val="20"/>
          <w:color w:val="auto"/>
        </w:rPr>
      </w:pPr>
    </w:p>
    <w:p>
      <w:pPr>
        <w:ind w:firstLine="441"/>
        <w:spacing w:after="0" w:line="277" w:lineRule="auto"/>
        <w:rPr>
          <w:sz w:val="20"/>
          <w:szCs w:val="20"/>
          <w:color w:val="auto"/>
        </w:rPr>
      </w:pPr>
      <w:r>
        <w:rPr>
          <w:rFonts w:ascii="Times New Roman" w:cs="Times New Roman" w:eastAsia="Times New Roman" w:hAnsi="Times New Roman"/>
          <w:sz w:val="17"/>
          <w:szCs w:val="17"/>
          <w:color w:val="auto"/>
        </w:rPr>
        <w:t>In connection with our Listing in Hong Kong in November 2025, we were not required under the Cybersecurity Review Measures to apply for a cybersecurity review for the following reasons: (i) according to our communication with the CCRC, “listing in a foreign country” does not include listing in Hong Kong; (ii) the number of users whose personal information is processed by us did not reach one million as of the date of the Hong Kong prospectus; and (iii) we have not received any notice from members of the cybersecurity review working mechanism or from the CCRC requiring us to undergo a cybersecurity review as of the date of the Hong Kong prospectus.</w:t>
      </w:r>
    </w:p>
    <w:p>
      <w:pPr>
        <w:spacing w:after="0" w:line="168"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However, if we plan to list our securities on other foreign stock exchanges in the future, and if by that time the number of users whose information we possess exceeds one million, we will be obligated to apply for a cybersecurity review. If and when we are required to go through a cybersecurity review, we may not be able to complete the review in a timely manner, or at all, which may bring substantial uncertainties to our future listing and financing plan, and therefore adversely affect our business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CSRC Filing and Reporting Requirements</w:t>
      </w:r>
    </w:p>
    <w:p>
      <w:pPr>
        <w:spacing w:after="0" w:line="185"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On February 17, 2023, the China Securities Regulatory Commission (the “</w:t>
      </w:r>
      <w:r>
        <w:rPr>
          <w:rFonts w:ascii="Times New Roman" w:cs="Times New Roman" w:eastAsia="Times New Roman" w:hAnsi="Times New Roman"/>
          <w:sz w:val="18"/>
          <w:szCs w:val="18"/>
          <w:b w:val="1"/>
          <w:bCs w:val="1"/>
          <w:color w:val="auto"/>
        </w:rPr>
        <w:t>CSRC</w:t>
      </w:r>
      <w:r>
        <w:rPr>
          <w:rFonts w:ascii="Times New Roman" w:cs="Times New Roman" w:eastAsia="Times New Roman" w:hAnsi="Times New Roman"/>
          <w:sz w:val="18"/>
          <w:szCs w:val="18"/>
          <w:color w:val="auto"/>
        </w:rPr>
        <w:t>”) published the Trial Administrative Measures of the Overseas Securities Offering and Listing by Domestic Companies and five supporting guidelines, collectively the Overseas Listing Filing Rules, which came into effect from March 31, 2023 and regulate both direct and indirect overseas offering and listing of PRC-based companies by adopting a filing-based regulatory regime. According to the Overseas Listing Filing Rules, if the issuer meets both of the following criteria, the overseas securities offering and listing conducted by such issuers shall be deemed as indirect overseas offering and listing: (i) more than 50% of the issuer’s operating revenue, total profit, total assets or net assets as documented in its audited consolidated financial statements for the most recent accounting year is accounted for by domestic companies; and (ii) the main parts of the issuer’s business activities are conducted in China, or its main places of business are located in China, or the senior managers in charge of its business operation and management are majority Chinese citizens or domiciled in China.</w:t>
      </w:r>
    </w:p>
    <w:p>
      <w:pPr>
        <w:spacing w:after="0" w:line="192"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We have completed the filings with the CSRC for our IPO and Listing and the CSRC has concluded the filing procedure and published the filing results on the CSRC website on April 22, 2024 and October 14, 2025. Our future financing activities may also need to be filed with and/or reported to the CSRC according to the Overseas Listing Filing Rules.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following summary consolidated statements of operations and summary consolidated cash flow data for the years ended December 31, 2023, 2024 and 2025, and summary consolidated balance sheet data as of December 31, 2024 and 2025 have been derived from consolidated financial statements included elsewhere in this annual report. Our consolidated financial statements are prepared and presented in accordance with accounting principles generally accepted in the United States of America (“U.S. GAAP”). Our historical results are not necessarily indicative of results expected for future periods. You should read this Selected Consolidated Financial Data section together with our consolidated financial statements and the related notes and “Item 5. Operating and Financial Review and Prospects” included elsewhere in this annual report.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summary consolidated statements of operations for the years presented.</w:t>
      </w:r>
    </w:p>
    <w:p>
      <w:pPr>
        <w:spacing w:after="0" w:line="232"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2720" w:type="dxa"/>
            <w:vAlign w:val="bottom"/>
          </w:tcPr>
          <w:p>
            <w:pPr>
              <w:ind w:left="26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6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US$</w:t>
            </w:r>
          </w:p>
        </w:tc>
        <w:tc>
          <w:tcPr>
            <w:tcW w:w="240" w:type="dxa"/>
            <w:vAlign w:val="bottom"/>
          </w:tcPr>
          <w:p>
            <w:pPr>
              <w:spacing w:after="0"/>
              <w:rPr>
                <w:sz w:val="12"/>
                <w:szCs w:val="12"/>
                <w:color w:val="auto"/>
              </w:rPr>
            </w:pPr>
          </w:p>
        </w:tc>
        <w:tc>
          <w:tcPr>
            <w:tcW w:w="1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24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US$</w:t>
            </w:r>
          </w:p>
        </w:tc>
        <w:tc>
          <w:tcPr>
            <w:tcW w:w="240" w:type="dxa"/>
            <w:vAlign w:val="bottom"/>
          </w:tcPr>
          <w:p>
            <w:pPr>
              <w:spacing w:after="0"/>
              <w:rPr>
                <w:sz w:val="12"/>
                <w:szCs w:val="12"/>
                <w:color w:val="auto"/>
              </w:rPr>
            </w:pP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72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4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20" w:type="dxa"/>
            <w:vAlign w:val="bottom"/>
            <w:gridSpan w:val="16"/>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2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Consolidated Statements of Operations</w:t>
            </w:r>
          </w:p>
        </w:tc>
        <w:tc>
          <w:tcPr>
            <w:tcW w:w="7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71,899</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100.0</w:t>
            </w:r>
          </w:p>
        </w:tc>
        <w:tc>
          <w:tcPr>
            <w:tcW w:w="6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75,025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231F20"/>
              </w:rPr>
              <w:t>100.0</w:t>
            </w:r>
          </w:p>
        </w:tc>
        <w:tc>
          <w:tcPr>
            <w:tcW w:w="6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231F20"/>
              </w:rPr>
              <w:t>90,001</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(55,015)</w:t>
            </w: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980" w:type="dxa"/>
            <w:vAlign w:val="bottom"/>
            <w:gridSpan w:val="5"/>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(63,622)</w:t>
            </w:r>
          </w:p>
        </w:tc>
        <w:tc>
          <w:tcPr>
            <w:tcW w:w="4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40" w:type="dxa"/>
            <w:vAlign w:val="bottom"/>
            <w:tcBorders>
              <w:right w:val="single" w:sz="8" w:color="CCEEFF"/>
            </w:tcBorders>
            <w:gridSpan w:val="5"/>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(75,840)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16,884</w:t>
            </w:r>
          </w:p>
        </w:tc>
        <w:tc>
          <w:tcPr>
            <w:tcW w:w="2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11,403</w:t>
            </w:r>
          </w:p>
        </w:tc>
        <w:tc>
          <w:tcPr>
            <w:tcW w:w="14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14,161</w:t>
            </w:r>
          </w:p>
        </w:tc>
        <w:tc>
          <w:tcPr>
            <w:tcW w:w="2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52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Research and development expenses</w:t>
            </w:r>
            <w:r>
              <w:rPr>
                <w:rFonts w:ascii="Times New Roman" w:cs="Times New Roman" w:eastAsia="Times New Roman" w:hAnsi="Times New Roman"/>
                <w:sz w:val="25"/>
                <w:szCs w:val="25"/>
                <w:color w:val="auto"/>
                <w:vertAlign w:val="superscript"/>
              </w:rPr>
              <w:t>(1)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(122,707)</w:t>
            </w: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(170.7)</w:t>
            </w:r>
          </w:p>
        </w:tc>
        <w:tc>
          <w:tcPr>
            <w:tcW w:w="980" w:type="dxa"/>
            <w:vAlign w:val="bottom"/>
            <w:gridSpan w:val="5"/>
          </w:tcPr>
          <w:p>
            <w:pPr>
              <w:jc w:val="right"/>
              <w:ind w:right="56"/>
              <w:spacing w:after="0"/>
              <w:rPr>
                <w:sz w:val="20"/>
                <w:szCs w:val="20"/>
                <w:color w:val="auto"/>
              </w:rPr>
            </w:pPr>
            <w:r>
              <w:rPr>
                <w:rFonts w:ascii="Times New Roman" w:cs="Times New Roman" w:eastAsia="Times New Roman" w:hAnsi="Times New Roman"/>
                <w:sz w:val="18"/>
                <w:szCs w:val="18"/>
                <w:color w:val="231F20"/>
              </w:rPr>
              <w:t>(240,179)</w:t>
            </w:r>
          </w:p>
        </w:tc>
        <w:tc>
          <w:tcPr>
            <w:tcW w:w="40" w:type="dxa"/>
            <w:vAlign w:val="bottom"/>
          </w:tcPr>
          <w:p>
            <w:pPr>
              <w:spacing w:after="0"/>
              <w:rPr>
                <w:sz w:val="18"/>
                <w:szCs w:val="18"/>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231F20"/>
                <w:w w:val="98"/>
              </w:rPr>
              <w:t>(320.1)</w:t>
            </w:r>
          </w:p>
        </w:tc>
        <w:tc>
          <w:tcPr>
            <w:tcW w:w="1040" w:type="dxa"/>
            <w:vAlign w:val="bottom"/>
            <w:gridSpan w:val="5"/>
          </w:tcPr>
          <w:p>
            <w:pPr>
              <w:jc w:val="right"/>
              <w:ind w:right="116"/>
              <w:spacing w:after="0"/>
              <w:rPr>
                <w:sz w:val="20"/>
                <w:szCs w:val="20"/>
                <w:color w:val="auto"/>
              </w:rPr>
            </w:pPr>
            <w:r>
              <w:rPr>
                <w:rFonts w:ascii="Times New Roman" w:cs="Times New Roman" w:eastAsia="Times New Roman" w:hAnsi="Times New Roman"/>
                <w:sz w:val="18"/>
                <w:szCs w:val="18"/>
                <w:color w:val="231F20"/>
              </w:rPr>
              <w:t>(217,419)</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8"/>
              </w:rPr>
              <w:t>(241.6)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right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Selling, general and administrative expenses</w:t>
            </w:r>
            <w:r>
              <w:rPr>
                <w:rFonts w:ascii="Times New Roman" w:cs="Times New Roman" w:eastAsia="Times New Roman" w:hAnsi="Times New Roman"/>
                <w:sz w:val="25"/>
                <w:szCs w:val="25"/>
                <w:color w:val="auto"/>
                <w:vertAlign w:val="superscript"/>
              </w:rPr>
              <w:t>(1)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(37,417)</w:t>
            </w: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(52.0)</w:t>
            </w:r>
          </w:p>
        </w:tc>
        <w:tc>
          <w:tcPr>
            <w:tcW w:w="980" w:type="dxa"/>
            <w:vAlign w:val="bottom"/>
            <w:gridSpan w:val="5"/>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231F20"/>
              </w:rPr>
              <w:t>(56,747)</w:t>
            </w:r>
          </w:p>
        </w:tc>
        <w:tc>
          <w:tcPr>
            <w:tcW w:w="4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(75.6)</w:t>
            </w:r>
          </w:p>
        </w:tc>
        <w:tc>
          <w:tcPr>
            <w:tcW w:w="1040" w:type="dxa"/>
            <w:vAlign w:val="bottom"/>
            <w:tcBorders>
              <w:right w:val="single" w:sz="8" w:color="CCEEFF"/>
            </w:tcBorders>
            <w:gridSpan w:val="5"/>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231F20"/>
              </w:rPr>
              <w:t>(57,599)</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(160,124)</w:t>
            </w:r>
          </w:p>
        </w:tc>
        <w:tc>
          <w:tcPr>
            <w:tcW w:w="2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(222.7)</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(296,926)</w:t>
            </w:r>
          </w:p>
        </w:tc>
        <w:tc>
          <w:tcPr>
            <w:tcW w:w="14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(395.7)</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(275,018)</w:t>
            </w:r>
          </w:p>
        </w:tc>
        <w:tc>
          <w:tcPr>
            <w:tcW w:w="2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(305.6)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(143,240)</w:t>
            </w: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(199.2)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(285,523)</w:t>
            </w: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(380.5)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(260,857)</w:t>
            </w: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(289.8)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19,389</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27.0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20,378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27.2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42,985</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of warrants liability</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5,617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231F20"/>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fair value of trading securities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980" w:type="dxa"/>
            <w:vAlign w:val="bottom"/>
            <w:gridSpan w:val="5"/>
          </w:tcPr>
          <w:p>
            <w:pPr>
              <w:jc w:val="right"/>
              <w:ind w:right="56"/>
              <w:spacing w:after="0"/>
              <w:rPr>
                <w:sz w:val="20"/>
                <w:szCs w:val="20"/>
                <w:color w:val="auto"/>
              </w:rPr>
            </w:pPr>
            <w:r>
              <w:rPr>
                <w:rFonts w:ascii="Times New Roman" w:cs="Times New Roman" w:eastAsia="Times New Roman" w:hAnsi="Times New Roman"/>
                <w:sz w:val="18"/>
                <w:szCs w:val="18"/>
                <w:color w:val="231F20"/>
              </w:rPr>
              <w:t>(21,285)</w:t>
            </w:r>
          </w:p>
        </w:tc>
        <w:tc>
          <w:tcPr>
            <w:tcW w:w="40" w:type="dxa"/>
            <w:vAlign w:val="bottom"/>
          </w:tcPr>
          <w:p>
            <w:pPr>
              <w:spacing w:after="0"/>
              <w:rPr>
                <w:sz w:val="18"/>
                <w:szCs w:val="18"/>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231F20"/>
              </w:rPr>
              <w:t>(28.3)</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231F20"/>
              </w:rPr>
              <w:t>128,031</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 net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8.6</w:t>
            </w:r>
          </w:p>
        </w:tc>
        <w:tc>
          <w:tcPr>
            <w:tcW w:w="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5,808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7.7</w:t>
            </w:r>
          </w:p>
        </w:tc>
        <w:tc>
          <w:tcPr>
            <w:tcW w:w="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13,083</w:t>
            </w: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(125,454)</w:t>
            </w:r>
          </w:p>
        </w:tc>
        <w:tc>
          <w:tcPr>
            <w:tcW w:w="2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(174.4)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(275,005)</w:t>
            </w:r>
          </w:p>
        </w:tc>
        <w:tc>
          <w:tcPr>
            <w:tcW w:w="14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(366.4)</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(76,758)</w:t>
            </w:r>
          </w:p>
        </w:tc>
        <w:tc>
          <w:tcPr>
            <w:tcW w:w="2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benefits (expenses)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(125,328)</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(174.2)</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(275,006)</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(366.4)</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(76,758)</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(885)</w:t>
            </w: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57,211</w:t>
            </w: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Pony AI Inc</w:t>
            </w: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(124,812)</w:t>
            </w:r>
          </w:p>
        </w:tc>
        <w:tc>
          <w:tcPr>
            <w:tcW w:w="20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(173.5)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(274,121)</w:t>
            </w:r>
          </w:p>
        </w:tc>
        <w:tc>
          <w:tcPr>
            <w:tcW w:w="1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231F20"/>
                <w:w w:val="98"/>
              </w:rPr>
              <w:t>(365.2)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(133,969)</w:t>
            </w:r>
          </w:p>
        </w:tc>
        <w:tc>
          <w:tcPr>
            <w:tcW w:w="20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w w:val="98"/>
              </w:rPr>
              <w:t>(148.9)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w:t>
            </w: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  Includes share-based compensation expenses:</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4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center"/>
              <w:ind w:right="11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2"/>
                <w:szCs w:val="12"/>
                <w:color w:val="auto"/>
              </w:rPr>
            </w:pPr>
          </w:p>
        </w:tc>
        <w:tc>
          <w:tcPr>
            <w:tcW w:w="24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color w:val="231F20"/>
              </w:rPr>
              <w:t>​​​</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231F20"/>
                <w:w w:val="92"/>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vMerge w:val="continue"/>
          </w:tcPr>
          <w:p>
            <w:pPr>
              <w:spacing w:after="0"/>
              <w:rPr>
                <w:sz w:val="12"/>
                <w:szCs w:val="12"/>
                <w:color w:val="auto"/>
              </w:rPr>
            </w:pPr>
          </w:p>
        </w:tc>
        <w:tc>
          <w:tcPr>
            <w:tcW w:w="200" w:type="dxa"/>
            <w:vAlign w:val="bottom"/>
            <w:tcBorders>
              <w:bottom w:val="single" w:sz="8" w:color="auto"/>
            </w:tcBorders>
            <w:gridSpan w:val="2"/>
          </w:tcPr>
          <w:p>
            <w:pPr>
              <w:spacing w:after="0"/>
              <w:rPr>
                <w:sz w:val="12"/>
                <w:szCs w:val="12"/>
                <w:color w:val="auto"/>
              </w:rPr>
            </w:pPr>
          </w:p>
        </w:tc>
        <w:tc>
          <w:tcPr>
            <w:tcW w:w="560" w:type="dxa"/>
            <w:vAlign w:val="bottom"/>
            <w:tcBorders>
              <w:bottom w:val="single" w:sz="8" w:color="auto"/>
            </w:tcBorders>
            <w:gridSpan w:val="2"/>
          </w:tcPr>
          <w:p>
            <w:pPr>
              <w:jc w:val="center"/>
              <w:ind w:right="110"/>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4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89"/>
              </w:rPr>
              <w:t>(in thousands)</w:t>
            </w:r>
          </w:p>
        </w:tc>
        <w:tc>
          <w:tcPr>
            <w:tcW w:w="28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2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center"/>
              <w:ind w:left="19"/>
              <w:spacing w:after="0"/>
              <w:rPr>
                <w:sz w:val="20"/>
                <w:szCs w:val="20"/>
                <w:color w:val="auto"/>
              </w:rPr>
            </w:pPr>
            <w:r>
              <w:rPr>
                <w:rFonts w:ascii="Times New Roman" w:cs="Times New Roman" w:eastAsia="Times New Roman" w:hAnsi="Times New Roman"/>
                <w:sz w:val="18"/>
                <w:szCs w:val="18"/>
                <w:color w:val="auto"/>
                <w:w w:val="98"/>
              </w:rPr>
              <w:t>1,832</w:t>
            </w:r>
          </w:p>
        </w:tc>
        <w:tc>
          <w:tcPr>
            <w:tcW w:w="10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102,383</w:t>
            </w:r>
          </w:p>
        </w:tc>
        <w:tc>
          <w:tcPr>
            <w:tcW w:w="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2"/>
              </w:rPr>
              <w:t>21,115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4"/>
          </w:tcPr>
          <w:p>
            <w:pPr>
              <w:jc w:val="center"/>
              <w:ind w:left="19"/>
              <w:spacing w:after="0"/>
              <w:rPr>
                <w:sz w:val="20"/>
                <w:szCs w:val="20"/>
                <w:color w:val="auto"/>
              </w:rPr>
            </w:pPr>
            <w:r>
              <w:rPr>
                <w:rFonts w:ascii="Times New Roman" w:cs="Times New Roman" w:eastAsia="Times New Roman" w:hAnsi="Times New Roman"/>
                <w:sz w:val="18"/>
                <w:szCs w:val="18"/>
                <w:color w:val="auto"/>
                <w:w w:val="98"/>
              </w:rPr>
              <w:t>1,926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24,620</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9,683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5200" w:type="dxa"/>
            <w:vAlign w:val="bottom"/>
            <w:gridSpan w:val="2"/>
          </w:tcPr>
          <w:p>
            <w:pPr>
              <w:ind w:left="4920"/>
              <w:spacing w:after="0"/>
              <w:rPr>
                <w:sz w:val="20"/>
                <w:szCs w:val="20"/>
                <w:color w:val="auto"/>
              </w:rPr>
            </w:pPr>
            <w:r>
              <w:rPr>
                <w:rFonts w:ascii="Times New Roman" w:cs="Times New Roman" w:eastAsia="Times New Roman" w:hAnsi="Times New Roman"/>
                <w:sz w:val="18"/>
                <w:szCs w:val="18"/>
                <w:color w:val="auto"/>
              </w:rPr>
              <w:t>7</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4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513" w:right="9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summary consolidated balance sheet data as of the dates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1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5340" w:type="dxa"/>
            <w:vAlign w:val="bottom"/>
            <w:vMerge w:val="restart"/>
          </w:tcPr>
          <w:p>
            <w:pPr>
              <w:ind w:left="518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5340" w:type="dxa"/>
            <w:vAlign w:val="bottom"/>
            <w:vMerge w:val="continue"/>
          </w:tcPr>
          <w:p>
            <w:pPr>
              <w:spacing w:after="0"/>
              <w:rPr>
                <w:sz w:val="12"/>
                <w:szCs w:val="12"/>
                <w:color w:val="auto"/>
              </w:rPr>
            </w:pPr>
          </w:p>
        </w:tc>
        <w:tc>
          <w:tcPr>
            <w:tcW w:w="94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vMerge w:val="continue"/>
          </w:tcPr>
          <w:p>
            <w:pPr>
              <w:spacing w:after="0"/>
              <w:rPr>
                <w:sz w:val="12"/>
                <w:szCs w:val="12"/>
                <w:color w:val="auto"/>
              </w:rPr>
            </w:pPr>
          </w:p>
        </w:tc>
        <w:tc>
          <w:tcPr>
            <w:tcW w:w="94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210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Consolidated Balance Sheet Data</w:t>
            </w: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535,976</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293,489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current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1,936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Short-term investments</w:t>
            </w:r>
            <w:r>
              <w:rPr>
                <w:rFonts w:ascii="Times New Roman" w:cs="Times New Roman" w:eastAsia="Times New Roman" w:hAnsi="Times New Roman"/>
                <w:sz w:val="25"/>
                <w:szCs w:val="25"/>
                <w:color w:val="auto"/>
                <w:vertAlign w:val="superscript"/>
              </w:rPr>
              <w:t>(1)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209,035</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872,158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28,555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23,644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due from related parties, current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8,322</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11,338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52,713</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48,074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834,622</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1,250,639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175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due from related parties, non-current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17,241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60,467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13,342</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14,811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Long-term investments</w:t>
            </w:r>
            <w:r>
              <w:rPr>
                <w:rFonts w:ascii="Times New Roman" w:cs="Times New Roman" w:eastAsia="Times New Roman" w:hAnsi="Times New Roman"/>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130,799</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454,942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Prepayment for long-term investments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52,823</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1,819</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6,690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216,199</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562,198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1,050,821</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1,812,837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gridSpan w:val="2"/>
            <w:vMerge w:val="continue"/>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231F20"/>
              </w:rPr>
              <w:t>66,548</w:t>
            </w:r>
          </w:p>
        </w:tc>
        <w:tc>
          <w:tcPr>
            <w:tcW w:w="22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231F20"/>
              </w:rPr>
              <w:t>85,261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900</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3,438</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4,792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70,886</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91,475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9,835</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10,375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1,389</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1,988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82,110</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103,838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 equity</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968,711</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1,708,999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(deficit) equity</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1,050,821</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1,812,837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5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w:t>
      </w:r>
    </w:p>
    <w:p>
      <w:pPr>
        <w:spacing w:after="0" w:line="204" w:lineRule="exact"/>
        <w:rPr>
          <w:sz w:val="20"/>
          <w:szCs w:val="20"/>
          <w:color w:val="auto"/>
        </w:rPr>
      </w:pPr>
    </w:p>
    <w:p>
      <w:pPr>
        <w:ind w:left="340" w:right="240" w:hanging="332"/>
        <w:spacing w:after="0" w:line="261" w:lineRule="auto"/>
        <w:tabs>
          <w:tab w:leader="none" w:pos="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Short-term investments represent purchased short-term investments by the Company from financial institutions for idle funds management purpose, including term deposits, corporate bonds, commercial paper, yankee bonds and other wealth management products, etc.</w:t>
      </w:r>
    </w:p>
    <w:p>
      <w:pPr>
        <w:spacing w:after="0" w:line="162" w:lineRule="exact"/>
        <w:rPr>
          <w:rFonts w:ascii="Times New Roman" w:cs="Times New Roman" w:eastAsia="Times New Roman" w:hAnsi="Times New Roman"/>
          <w:sz w:val="14"/>
          <w:szCs w:val="14"/>
          <w:color w:val="auto"/>
        </w:rPr>
      </w:pPr>
    </w:p>
    <w:p>
      <w:pPr>
        <w:ind w:left="340" w:right="360"/>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Long-term investments are mainly comprised of investments in convertible redeemable preferred shares, term deposits and certificate of deposits and convertible notes.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summary consolidated cash flow data for the years presented.</w:t>
      </w:r>
    </w:p>
    <w:p>
      <w:pPr>
        <w:spacing w:after="0" w:line="232"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1000" w:type="dxa"/>
        <w:tblCellMar>
          <w:top w:w="0" w:type="dxa"/>
          <w:left w:w="0" w:type="dxa"/>
          <w:bottom w:w="0" w:type="dxa"/>
          <w:right w:w="0" w:type="dxa"/>
        </w:tblCellMar>
      </w:tblPr>
      <w:tr>
        <w:trPr>
          <w:trHeight w:val="142"/>
        </w:trPr>
        <w:tc>
          <w:tcPr>
            <w:tcW w:w="54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0" w:type="dxa"/>
            <w:vAlign w:val="bottom"/>
          </w:tcPr>
          <w:p>
            <w:pPr>
              <w:ind w:left="52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spacing w:after="0"/>
              <w:rPr>
                <w:sz w:val="12"/>
                <w:szCs w:val="12"/>
                <w:color w:val="auto"/>
              </w:rPr>
            </w:pPr>
          </w:p>
        </w:tc>
        <w:tc>
          <w:tcPr>
            <w:tcW w:w="860" w:type="dxa"/>
            <w:vAlign w:val="bottom"/>
            <w:gridSpan w:val="2"/>
          </w:tcPr>
          <w:p>
            <w:pPr>
              <w:jc w:val="right"/>
              <w:ind w:right="175"/>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0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5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3"/>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w w:val="93"/>
              </w:rPr>
              <w:t>(in thousands)</w:t>
            </w:r>
          </w:p>
        </w:tc>
        <w:tc>
          <w:tcPr>
            <w:tcW w:w="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Consolidated Cash Flow Data:</w:t>
            </w:r>
          </w:p>
        </w:tc>
        <w:tc>
          <w:tcPr>
            <w:tcW w:w="7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(115,421)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9"/>
              </w:rPr>
              <w:t>(110,758)</w:t>
            </w:r>
          </w:p>
        </w:tc>
        <w:tc>
          <w:tcPr>
            <w:tcW w:w="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(164,955)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136,494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9"/>
              </w:rPr>
              <w:t>(181,267)</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(889,160)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89,764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407,389</w:t>
            </w:r>
          </w:p>
        </w:tc>
        <w:tc>
          <w:tcPr>
            <w:tcW w:w="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814,833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(5,397)</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107,687</w:t>
            </w:r>
          </w:p>
        </w:tc>
        <w:tc>
          <w:tcPr>
            <w:tcW w:w="16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109,967</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(240,459)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year</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318,518</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426,205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536,172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year</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426,205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536,172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295,713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60"/>
          </w:cols>
          <w:pgMar w:left="980" w:top="513" w:right="95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Consolidating Schedule</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condensed consolidating schedules for Pony AI Inc., its subsidiaries (excluding the former WFOEs), the former WFOEs that were the primary beneficiaries of the former VIEs under the U.S. GAAP (“Former WFOEs as primary beneficiaries”), and the former VIEs and their subsidiaries for the periods presented and as of the dates presented.</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Condensed consolidating statements of operations information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1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4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80" w:type="dxa"/>
            <w:vAlign w:val="bottom"/>
            <w:gridSpan w:val="3"/>
          </w:tcPr>
          <w:p>
            <w:pPr>
              <w:ind w:left="60"/>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Former</w:t>
            </w:r>
          </w:p>
        </w:tc>
        <w:tc>
          <w:tcPr>
            <w:tcW w:w="18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Former</w:t>
            </w:r>
          </w:p>
        </w:tc>
        <w:tc>
          <w:tcPr>
            <w:tcW w:w="940" w:type="dxa"/>
            <w:vAlign w:val="bottom"/>
            <w:gridSpan w:val="3"/>
          </w:tcPr>
          <w:p>
            <w:pPr>
              <w:jc w:val="right"/>
              <w:ind w:right="800"/>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right"/>
              <w:ind w:right="712"/>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WFOEs as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VIEs</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The Company</w:t>
            </w:r>
          </w:p>
        </w:tc>
        <w:tc>
          <w:tcPr>
            <w:tcW w:w="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primary</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and their</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beneficiaries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gridSpan w:val="5"/>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2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Revenues from external parties (including related parties)</w:t>
            </w:r>
          </w:p>
        </w:tc>
        <w:tc>
          <w:tcPr>
            <w:tcW w:w="14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22,679</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w:t>
            </w:r>
          </w:p>
        </w:tc>
        <w:tc>
          <w:tcPr>
            <w:tcW w:w="1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 from intra-group entities</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8,441</w:t>
            </w:r>
          </w:p>
        </w:tc>
        <w:tc>
          <w:tcPr>
            <w:tcW w:w="4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(27,404)</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46,083</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22,100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31,120</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(27,404)</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from external parties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from intra-group entities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(7,754)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(9,920)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(45,988)</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(11,412)</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(22,391)</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24,776</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(105,139)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2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Equity in loss of its subsidiaries, the VIEs and the VIEs’</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240" w:type="dxa"/>
            <w:vAlign w:val="bottom"/>
            <w:gridSpan w:val="2"/>
          </w:tcPr>
          <w:p>
            <w:pPr>
              <w:ind w:left="140"/>
              <w:spacing w:after="0" w:line="242" w:lineRule="exact"/>
              <w:rPr>
                <w:sz w:val="20"/>
                <w:szCs w:val="20"/>
                <w:color w:val="auto"/>
              </w:rPr>
            </w:pPr>
            <w:r>
              <w:rPr>
                <w:rFonts w:ascii="Times New Roman" w:cs="Times New Roman" w:eastAsia="Times New Roman" w:hAnsi="Times New Roman"/>
                <w:sz w:val="18"/>
                <w:szCs w:val="18"/>
                <w:color w:val="auto"/>
              </w:rPr>
              <w:t>subsidiaries</w:t>
            </w:r>
            <w:r>
              <w:rPr>
                <w:rFonts w:ascii="Times New Roman" w:cs="Times New Roman" w:eastAsia="Times New Roman" w:hAnsi="Times New Roman"/>
                <w:sz w:val="26"/>
                <w:szCs w:val="26"/>
                <w:color w:val="auto"/>
                <w:vertAlign w:val="superscript"/>
              </w:rPr>
              <w:t>(1)</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(125,266)</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(24,739)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(12,904)</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162,909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 net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expenses</w:t>
            </w:r>
          </w:p>
        </w:tc>
        <w:tc>
          <w:tcPr>
            <w:tcW w:w="1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(124,812)</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(125,890)</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(25,394)</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(13,635)</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164,277</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(125,454)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benefits/(expenses)</w:t>
            </w:r>
          </w:p>
        </w:tc>
        <w:tc>
          <w:tcPr>
            <w:tcW w:w="1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(124,812)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(125,782)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(25,375)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(13,636)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164,277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2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1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80" w:type="dxa"/>
            <w:vAlign w:val="bottom"/>
            <w:gridSpan w:val="3"/>
          </w:tcPr>
          <w:p>
            <w:pPr>
              <w:ind w:left="60"/>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Former</w:t>
            </w:r>
          </w:p>
        </w:tc>
        <w:tc>
          <w:tcPr>
            <w:tcW w:w="18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Former</w:t>
            </w:r>
          </w:p>
        </w:tc>
        <w:tc>
          <w:tcPr>
            <w:tcW w:w="940" w:type="dxa"/>
            <w:vAlign w:val="bottom"/>
            <w:gridSpan w:val="3"/>
          </w:tcPr>
          <w:p>
            <w:pPr>
              <w:jc w:val="right"/>
              <w:ind w:right="800"/>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right"/>
              <w:ind w:right="712"/>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WFOEs as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VIEs</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The Company</w:t>
            </w:r>
          </w:p>
        </w:tc>
        <w:tc>
          <w:tcPr>
            <w:tcW w:w="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primary</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and their</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beneficiaries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gridSpan w:val="5"/>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parties (including related parties)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71,611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3,409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231F20"/>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75,025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 from intra-group entities</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12,247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8,869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369</w:t>
            </w:r>
          </w:p>
        </w:tc>
        <w:tc>
          <w:tcPr>
            <w:tcW w:w="4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231F20"/>
              </w:rPr>
              <w:t>(21,485)</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83,858</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12,278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374</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(21,485)</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75,025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from external parties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(61,299)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(63,622)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from intra-group entities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231F20"/>
              </w:rPr>
              <w:t>(14,495)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231F20"/>
              </w:rPr>
              <w:t>(6,598)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231F20"/>
              </w:rPr>
              <w:t>(268)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21,361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(75,794)</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(8,893)</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(296)</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21,361</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(63,622)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(10,401)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(216,984)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(66,786)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(2,233)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(522)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(296,926)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in loss of its subsidiaries, the VIEs and the VIEs’</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231F20"/>
              </w:rPr>
              <w:t>—</w:t>
            </w:r>
          </w:p>
        </w:tc>
        <w:tc>
          <w:tcPr>
            <w:tcW w:w="0" w:type="dxa"/>
            <w:vAlign w:val="bottom"/>
          </w:tcPr>
          <w:p>
            <w:pPr>
              <w:spacing w:after="0"/>
              <w:rPr>
                <w:sz w:val="1"/>
                <w:szCs w:val="1"/>
                <w:color w:val="auto"/>
              </w:rPr>
            </w:pPr>
          </w:p>
        </w:tc>
      </w:tr>
      <w:tr>
        <w:trPr>
          <w:trHeight w:val="234"/>
        </w:trPr>
        <w:tc>
          <w:tcPr>
            <w:tcW w:w="4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subsidiaries</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231F20"/>
              </w:rPr>
              <w:t>(285,176)</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231F20"/>
              </w:rPr>
              <w:t>(62,555)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31F20"/>
              </w:rPr>
              <w:t>(2,299)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350,030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 net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21,456</w:t>
            </w: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231F20"/>
              </w:rPr>
              <w:t>(14,584)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3,790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231F20"/>
              </w:rPr>
              <w:t>(144)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231F20"/>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10,518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expenses</w:t>
            </w:r>
          </w:p>
        </w:tc>
        <w:tc>
          <w:tcPr>
            <w:tcW w:w="1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(274,121)</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(286,059)</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(61,910)</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(2,299)</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349,384</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(275,005)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(274,121)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(286,060)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(61,910)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(2,299)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349,384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(275,006)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480" w:type="dxa"/>
            <w:vAlign w:val="bottom"/>
            <w:tcBorders>
              <w:bottom w:val="single" w:sz="8" w:color="auto"/>
            </w:tcBorders>
          </w:tcPr>
          <w:p>
            <w:pPr>
              <w:spacing w:after="0"/>
              <w:rPr>
                <w:sz w:val="10"/>
                <w:szCs w:val="10"/>
                <w:color w:val="auto"/>
              </w:rPr>
            </w:pPr>
          </w:p>
        </w:tc>
        <w:tc>
          <w:tcPr>
            <w:tcW w:w="1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w:t>
      </w:r>
    </w:p>
    <w:p>
      <w:pPr>
        <w:spacing w:after="0" w:line="217" w:lineRule="exact"/>
        <w:rPr>
          <w:sz w:val="20"/>
          <w:szCs w:val="20"/>
          <w:color w:val="auto"/>
        </w:rPr>
      </w:pPr>
    </w:p>
    <w:p>
      <w:pPr>
        <w:ind w:left="340" w:right="740" w:hanging="332"/>
        <w:spacing w:after="0" w:line="302" w:lineRule="auto"/>
        <w:tabs>
          <w:tab w:leader="none" w:pos="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eliminations are mainly related to the investment loss picked up from our subsidiaries (excluding the former WFOEs), the former WFOEs as primary beneficiaries, and the former VIEs and their subsidiaries.</w:t>
      </w:r>
    </w:p>
    <w:p>
      <w:pPr>
        <w:spacing w:after="0" w:line="175" w:lineRule="exact"/>
        <w:rPr>
          <w:rFonts w:ascii="Times New Roman" w:cs="Times New Roman" w:eastAsia="Times New Roman" w:hAnsi="Times New Roman"/>
          <w:sz w:val="14"/>
          <w:szCs w:val="14"/>
          <w:color w:val="auto"/>
        </w:rPr>
      </w:pPr>
    </w:p>
    <w:p>
      <w:pPr>
        <w:ind w:left="340" w:right="540" w:hanging="332"/>
        <w:spacing w:after="0" w:line="302" w:lineRule="auto"/>
        <w:tabs>
          <w:tab w:leader="none" w:pos="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from external parties (including related parties) included revenues of US$22.5 million and US$0.6 million from related parties recognized by other subsidiaries, and former VIEs and their subsidiaries, respectively, for the year ended December 31, 2023.</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right="280"/>
        <w:spacing w:after="0" w:line="261" w:lineRule="auto"/>
        <w:rPr>
          <w:sz w:val="20"/>
          <w:szCs w:val="20"/>
          <w:color w:val="auto"/>
        </w:rPr>
      </w:pPr>
      <w:r>
        <w:rPr>
          <w:rFonts w:ascii="Times New Roman" w:cs="Times New Roman" w:eastAsia="Times New Roman" w:hAnsi="Times New Roman"/>
          <w:sz w:val="14"/>
          <w:szCs w:val="14"/>
          <w:color w:val="auto"/>
        </w:rPr>
        <w:t>Revenues from external parties (including related parties) included revenues of US$30.8 million from related parties recognized by other subsidiaries, and former VIEs and their subsidiaries, respectively, for the year ended December 31, 2024.</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Condensed consolidating balance sheets information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4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80" w:type="dxa"/>
            <w:vAlign w:val="bottom"/>
            <w:gridSpan w:val="2"/>
          </w:tcPr>
          <w:p>
            <w:pPr>
              <w:jc w:val="right"/>
              <w:ind w:right="771"/>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3"/>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3"/>
          </w:tcPr>
          <w:p>
            <w:pPr>
              <w:jc w:val="right"/>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  Former</w:t>
            </w:r>
          </w:p>
        </w:tc>
        <w:tc>
          <w:tcPr>
            <w:tcW w:w="1060" w:type="dxa"/>
            <w:vAlign w:val="bottom"/>
            <w:gridSpan w:val="3"/>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  Former   ​​​</w:t>
            </w:r>
          </w:p>
        </w:tc>
        <w:tc>
          <w:tcPr>
            <w:tcW w:w="840" w:type="dxa"/>
            <w:vAlign w:val="bottom"/>
          </w:tcPr>
          <w:p>
            <w:pPr>
              <w:spacing w:after="0"/>
              <w:rPr>
                <w:sz w:val="12"/>
                <w:szCs w:val="12"/>
                <w:color w:val="auto"/>
              </w:rPr>
            </w:pPr>
          </w:p>
        </w:tc>
        <w:tc>
          <w:tcPr>
            <w:tcW w:w="1000" w:type="dxa"/>
            <w:vAlign w:val="bottom"/>
            <w:gridSpan w:val="2"/>
          </w:tcPr>
          <w:p>
            <w:pPr>
              <w:jc w:val="right"/>
              <w:ind w:right="731"/>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WFOEs as</w:t>
            </w: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VIEs</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The Company</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primary</w:t>
            </w: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and their</w:t>
            </w:r>
          </w:p>
        </w:tc>
        <w:tc>
          <w:tcPr>
            <w:tcW w:w="100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99"/>
              </w:rPr>
              <w:t>Eliminations</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beneficiaries</w:t>
            </w:r>
          </w:p>
        </w:tc>
        <w:tc>
          <w:tcPr>
            <w:tcW w:w="12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446,873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72,698</w:t>
            </w:r>
          </w:p>
        </w:tc>
        <w:tc>
          <w:tcPr>
            <w:tcW w:w="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16,405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535,976</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current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73,925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57,975</w:t>
            </w:r>
          </w:p>
        </w:tc>
        <w:tc>
          <w:tcPr>
            <w:tcW w:w="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77,135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209,035</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26,613</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28,555</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due from related parties, current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8,322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8,322</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group companies, current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1,027,644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42,683</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76,996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w w:val="97"/>
              </w:rPr>
              <w:t>(1,147,323)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45,133</w:t>
            </w:r>
          </w:p>
        </w:tc>
        <w:tc>
          <w:tcPr>
            <w:tcW w:w="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7"/>
                <w:szCs w:val="17"/>
                <w:color w:val="auto"/>
              </w:rPr>
              <w:t>(308)</w:t>
            </w:r>
            <w:r>
              <w:rPr>
                <w:rFonts w:ascii="Times New Roman" w:cs="Times New Roman" w:eastAsia="Times New Roman" w:hAnsi="Times New Roman"/>
                <w:sz w:val="25"/>
                <w:szCs w:val="25"/>
                <w:color w:val="auto"/>
                <w:vertAlign w:val="superscript"/>
              </w:rPr>
              <w:t>(2)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52,713</w:t>
            </w:r>
          </w:p>
        </w:tc>
        <w:tc>
          <w:tcPr>
            <w:tcW w:w="0" w:type="dxa"/>
            <w:vAlign w:val="bottom"/>
          </w:tcPr>
          <w:p>
            <w:pPr>
              <w:spacing w:after="0"/>
              <w:rPr>
                <w:sz w:val="1"/>
                <w:szCs w:val="1"/>
                <w:color w:val="auto"/>
              </w:rPr>
            </w:pPr>
          </w:p>
        </w:tc>
      </w:tr>
      <w:tr>
        <w:trPr>
          <w:trHeight w:val="209"/>
        </w:trPr>
        <w:tc>
          <w:tcPr>
            <w:tcW w:w="3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1,550,282</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253,445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178,526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(1,147,631)</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834,622</w:t>
            </w:r>
          </w:p>
        </w:tc>
        <w:tc>
          <w:tcPr>
            <w:tcW w:w="0" w:type="dxa"/>
            <w:vAlign w:val="bottom"/>
          </w:tcPr>
          <w:p>
            <w:pPr>
              <w:spacing w:after="0"/>
              <w:rPr>
                <w:sz w:val="1"/>
                <w:szCs w:val="1"/>
                <w:color w:val="auto"/>
              </w:rPr>
            </w:pPr>
          </w:p>
        </w:tc>
      </w:tr>
      <w:tr>
        <w:trPr>
          <w:trHeight w:val="21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16,762</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17,241</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12,965</w:t>
            </w:r>
          </w:p>
        </w:tc>
        <w:tc>
          <w:tcPr>
            <w:tcW w:w="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13,342</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62,440</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130,799</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Prepayment for long-term investments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27,823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52,823</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1,819</w:t>
            </w:r>
          </w:p>
        </w:tc>
        <w:tc>
          <w:tcPr>
            <w:tcW w:w="0" w:type="dxa"/>
            <w:vAlign w:val="bottom"/>
          </w:tcPr>
          <w:p>
            <w:pPr>
              <w:spacing w:after="0"/>
              <w:rPr>
                <w:sz w:val="1"/>
                <w:szCs w:val="1"/>
                <w:color w:val="auto"/>
              </w:rPr>
            </w:pPr>
          </w:p>
        </w:tc>
      </w:tr>
      <w:tr>
        <w:trPr>
          <w:trHeight w:val="209"/>
        </w:trPr>
        <w:tc>
          <w:tcPr>
            <w:tcW w:w="3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0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83,373</w:t>
            </w:r>
          </w:p>
        </w:tc>
        <w:tc>
          <w:tcPr>
            <w:tcW w:w="1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121,843</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10,983</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216,199</w:t>
            </w:r>
          </w:p>
        </w:tc>
        <w:tc>
          <w:tcPr>
            <w:tcW w:w="0" w:type="dxa"/>
            <w:vAlign w:val="bottom"/>
          </w:tcPr>
          <w:p>
            <w:pPr>
              <w:spacing w:after="0"/>
              <w:rPr>
                <w:sz w:val="1"/>
                <w:szCs w:val="1"/>
                <w:color w:val="auto"/>
              </w:rPr>
            </w:pPr>
          </w:p>
        </w:tc>
      </w:tr>
      <w:tr>
        <w:trPr>
          <w:trHeight w:val="210"/>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1,633,655</w:t>
            </w: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375,288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189,509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(1,147,631)</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1,050,821</w:t>
            </w:r>
          </w:p>
        </w:tc>
        <w:tc>
          <w:tcPr>
            <w:tcW w:w="0" w:type="dxa"/>
            <w:vAlign w:val="bottom"/>
          </w:tcPr>
          <w:p>
            <w:pPr>
              <w:spacing w:after="0"/>
              <w:rPr>
                <w:sz w:val="1"/>
                <w:szCs w:val="1"/>
                <w:color w:val="auto"/>
              </w:rPr>
            </w:pPr>
          </w:p>
        </w:tc>
      </w:tr>
      <w:tr>
        <w:trPr>
          <w:trHeight w:val="21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51,477</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66,548</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due to related parties, current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900</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3,438</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due to group companies, current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12,984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1,050,328</w:t>
            </w:r>
          </w:p>
        </w:tc>
        <w:tc>
          <w:tcPr>
            <w:tcW w:w="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84,011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w w:val="97"/>
              </w:rPr>
              <w:t>(1,147,323)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18,612</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1,105,848</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93,749</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(1,147,323)</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70,886</w:t>
            </w:r>
          </w:p>
        </w:tc>
        <w:tc>
          <w:tcPr>
            <w:tcW w:w="0" w:type="dxa"/>
            <w:vAlign w:val="bottom"/>
          </w:tcPr>
          <w:p>
            <w:pPr>
              <w:spacing w:after="0"/>
              <w:rPr>
                <w:sz w:val="1"/>
                <w:szCs w:val="1"/>
                <w:color w:val="auto"/>
              </w:rPr>
            </w:pPr>
          </w:p>
        </w:tc>
      </w:tr>
      <w:tr>
        <w:trPr>
          <w:trHeight w:val="170"/>
        </w:trPr>
        <w:tc>
          <w:tcPr>
            <w:tcW w:w="3900" w:type="dxa"/>
            <w:vAlign w:val="bottom"/>
            <w:gridSpan w:val="2"/>
          </w:tcPr>
          <w:p>
            <w:pPr>
              <w:spacing w:after="0" w:line="170" w:lineRule="exact"/>
              <w:rPr>
                <w:sz w:val="20"/>
                <w:szCs w:val="20"/>
                <w:color w:val="auto"/>
              </w:rPr>
            </w:pPr>
            <w:r>
              <w:rPr>
                <w:rFonts w:ascii="Times New Roman" w:cs="Times New Roman" w:eastAsia="Times New Roman" w:hAnsi="Times New Roman"/>
                <w:sz w:val="18"/>
                <w:szCs w:val="18"/>
                <w:color w:val="auto"/>
              </w:rPr>
              <w:t>Accumulated deficit/(equity) in its subsidiaries, the</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900" w:type="dxa"/>
            <w:vAlign w:val="bottom"/>
            <w:gridSpan w:val="2"/>
          </w:tcPr>
          <w:p>
            <w:pPr>
              <w:ind w:left="140"/>
              <w:spacing w:after="0" w:line="242" w:lineRule="exact"/>
              <w:rPr>
                <w:sz w:val="20"/>
                <w:szCs w:val="20"/>
                <w:color w:val="auto"/>
              </w:rPr>
            </w:pPr>
            <w:r>
              <w:rPr>
                <w:rFonts w:ascii="Times New Roman" w:cs="Times New Roman" w:eastAsia="Times New Roman" w:hAnsi="Times New Roman"/>
                <w:sz w:val="18"/>
                <w:szCs w:val="18"/>
                <w:color w:val="auto"/>
              </w:rPr>
              <w:t>VIEs and the VIEs’ subsidiaries</w:t>
            </w:r>
            <w:r>
              <w:rPr>
                <w:rFonts w:ascii="Times New Roman" w:cs="Times New Roman" w:eastAsia="Times New Roman" w:hAnsi="Times New Roman"/>
                <w:sz w:val="26"/>
                <w:szCs w:val="26"/>
                <w:color w:val="auto"/>
                <w:vertAlign w:val="superscript"/>
              </w:rPr>
              <w:t>(1)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663,921</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(49,923)</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(61,488)</w:t>
            </w:r>
          </w:p>
        </w:tc>
        <w:tc>
          <w:tcPr>
            <w:tcW w:w="120" w:type="dxa"/>
            <w:vAlign w:val="bottom"/>
          </w:tcPr>
          <w:p>
            <w:pPr>
              <w:spacing w:after="0"/>
              <w:rPr>
                <w:sz w:val="21"/>
                <w:szCs w:val="21"/>
                <w:color w:val="auto"/>
              </w:rPr>
            </w:pP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(552,510)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9,835</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1,389</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663,921</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(38,699)</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(61,488)</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(552,510)</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11,224</w:t>
            </w:r>
          </w:p>
        </w:tc>
        <w:tc>
          <w:tcPr>
            <w:tcW w:w="0" w:type="dxa"/>
            <w:vAlign w:val="bottom"/>
          </w:tcPr>
          <w:p>
            <w:pPr>
              <w:spacing w:after="0"/>
              <w:rPr>
                <w:sz w:val="1"/>
                <w:szCs w:val="1"/>
                <w:color w:val="auto"/>
              </w:rPr>
            </w:pPr>
          </w:p>
        </w:tc>
      </w:tr>
      <w:tr>
        <w:trPr>
          <w:trHeight w:val="210"/>
        </w:trPr>
        <w:tc>
          <w:tcPr>
            <w:tcW w:w="3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682,533</w:t>
            </w: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1,067,149</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32,261</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(1,699,833)</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82,110</w:t>
            </w:r>
          </w:p>
        </w:tc>
        <w:tc>
          <w:tcPr>
            <w:tcW w:w="0" w:type="dxa"/>
            <w:vAlign w:val="bottom"/>
          </w:tcPr>
          <w:p>
            <w:pPr>
              <w:spacing w:after="0"/>
              <w:rPr>
                <w:sz w:val="1"/>
                <w:szCs w:val="1"/>
                <w:color w:val="auto"/>
              </w:rPr>
            </w:pPr>
          </w:p>
        </w:tc>
      </w:tr>
      <w:tr>
        <w:trPr>
          <w:trHeight w:val="210"/>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3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3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3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13,283</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4,306</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17,589</w:t>
            </w:r>
          </w:p>
        </w:tc>
        <w:tc>
          <w:tcPr>
            <w:tcW w:w="0" w:type="dxa"/>
            <w:vAlign w:val="bottom"/>
          </w:tcPr>
          <w:p>
            <w:pPr>
              <w:spacing w:after="0"/>
              <w:rPr>
                <w:sz w:val="1"/>
                <w:szCs w:val="1"/>
                <w:color w:val="auto"/>
              </w:rPr>
            </w:pPr>
          </w:p>
        </w:tc>
      </w:tr>
      <w:tr>
        <w:trPr>
          <w:trHeight w:val="210"/>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Pony AI Inc. shareholders’ equity</w:t>
            </w:r>
          </w:p>
        </w:tc>
        <w:tc>
          <w:tcPr>
            <w:tcW w:w="3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951,122</w:t>
            </w: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(705,144)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157,248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547,896</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951,122</w:t>
            </w:r>
          </w:p>
        </w:tc>
        <w:tc>
          <w:tcPr>
            <w:tcW w:w="0" w:type="dxa"/>
            <w:vAlign w:val="bottom"/>
          </w:tcPr>
          <w:p>
            <w:pPr>
              <w:spacing w:after="0"/>
              <w:rPr>
                <w:sz w:val="1"/>
                <w:szCs w:val="1"/>
                <w:color w:val="auto"/>
              </w:rPr>
            </w:pPr>
          </w:p>
        </w:tc>
      </w:tr>
      <w:tr>
        <w:trPr>
          <w:trHeight w:val="115"/>
        </w:trPr>
        <w:tc>
          <w:tcPr>
            <w:tcW w:w="2480" w:type="dxa"/>
            <w:vAlign w:val="bottom"/>
            <w:tcBorders>
              <w:bottom w:val="single" w:sz="8" w:color="auto"/>
            </w:tcBorders>
          </w:tcPr>
          <w:p>
            <w:pPr>
              <w:spacing w:after="0"/>
              <w:rPr>
                <w:sz w:val="10"/>
                <w:szCs w:val="10"/>
                <w:color w:val="auto"/>
              </w:rPr>
            </w:pPr>
          </w:p>
        </w:tc>
        <w:tc>
          <w:tcPr>
            <w:tcW w:w="1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w:t>
      </w:r>
    </w:p>
    <w:p>
      <w:pPr>
        <w:spacing w:after="0" w:line="217" w:lineRule="exact"/>
        <w:rPr>
          <w:sz w:val="20"/>
          <w:szCs w:val="20"/>
          <w:color w:val="auto"/>
        </w:rPr>
      </w:pPr>
    </w:p>
    <w:p>
      <w:pPr>
        <w:ind w:left="340" w:right="20" w:hanging="332"/>
        <w:spacing w:after="0" w:line="322" w:lineRule="auto"/>
        <w:tabs>
          <w:tab w:leader="none" w:pos="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eliminations are mainly related to the investments in our subsidiaries (excluding the former WFOEs), the former WFOEs as primary beneficiaries, and the former VIEs and their subsidiaries.</w:t>
      </w:r>
    </w:p>
    <w:p>
      <w:pPr>
        <w:spacing w:after="0" w:line="148" w:lineRule="exact"/>
        <w:rPr>
          <w:rFonts w:ascii="Times New Roman" w:cs="Times New Roman" w:eastAsia="Times New Roman" w:hAnsi="Times New Roman"/>
          <w:sz w:val="14"/>
          <w:szCs w:val="14"/>
          <w:color w:val="auto"/>
        </w:rPr>
      </w:pPr>
    </w:p>
    <w:p>
      <w:pPr>
        <w:ind w:left="340" w:right="120" w:hanging="332"/>
        <w:spacing w:after="0" w:line="322" w:lineRule="auto"/>
        <w:tabs>
          <w:tab w:leader="none" w:pos="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represents the intra-group transaction related to other current assets which is subject to the elimination with the offsetting effect included in the Pony AI Inc. shareholders’ equity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Condensed consolidating cash flows information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gridSpan w:val="10"/>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Former</w:t>
            </w:r>
          </w:p>
        </w:tc>
        <w:tc>
          <w:tcPr>
            <w:tcW w:w="120" w:type="dxa"/>
            <w:vAlign w:val="bottom"/>
          </w:tcPr>
          <w:p>
            <w:pPr>
              <w:spacing w:after="0"/>
              <w:rPr>
                <w:sz w:val="10"/>
                <w:szCs w:val="10"/>
                <w:color w:val="auto"/>
              </w:rPr>
            </w:pPr>
          </w:p>
        </w:tc>
        <w:tc>
          <w:tcPr>
            <w:tcW w:w="88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Former</w:t>
            </w: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WFOEs as</w:t>
            </w:r>
          </w:p>
        </w:tc>
        <w:tc>
          <w:tcPr>
            <w:tcW w:w="12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VIEs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primary</w:t>
            </w:r>
          </w:p>
        </w:tc>
        <w:tc>
          <w:tcPr>
            <w:tcW w:w="12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and their</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5860" w:type="dxa"/>
            <w:vAlign w:val="bottom"/>
            <w:gridSpan w:val="18"/>
          </w:tcPr>
          <w:p>
            <w:pPr>
              <w:jc w:val="right"/>
              <w:spacing w:after="0"/>
              <w:rPr>
                <w:sz w:val="20"/>
                <w:szCs w:val="20"/>
                <w:color w:val="auto"/>
              </w:rPr>
            </w:pPr>
            <w:r>
              <w:rPr>
                <w:rFonts w:ascii="Times New Roman" w:cs="Times New Roman" w:eastAsia="Times New Roman" w:hAnsi="Times New Roman"/>
                <w:sz w:val="14"/>
                <w:szCs w:val="14"/>
                <w:b w:val="1"/>
                <w:bCs w:val="1"/>
                <w:color w:val="auto"/>
              </w:rPr>
              <w:t>​​​The Company ​​​subsidiaries ​​​beneficiaries ​​​subsidiaries ​​​Eliminations ​​​Consolidated</w:t>
            </w: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(35,693)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(55,225)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(12,515)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(11,988)</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(115,421)</w:t>
            </w:r>
          </w:p>
        </w:tc>
        <w:tc>
          <w:tcPr>
            <w:tcW w:w="0" w:type="dxa"/>
            <w:vAlign w:val="bottom"/>
          </w:tcPr>
          <w:p>
            <w:pPr>
              <w:spacing w:after="0"/>
              <w:rPr>
                <w:sz w:val="1"/>
                <w:szCs w:val="1"/>
                <w:color w:val="auto"/>
              </w:rPr>
            </w:pPr>
          </w:p>
        </w:tc>
      </w:tr>
      <w:tr>
        <w:trPr>
          <w:trHeight w:val="20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Loan to group companies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(96,094)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96,094</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contributions to group companies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201,156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(48,743)</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(11,094)</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(4,825)</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136,494</w:t>
            </w: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105,062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(58,743)</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(15,600)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(4,825)</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110,600</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136,494</w:t>
            </w:r>
          </w:p>
        </w:tc>
        <w:tc>
          <w:tcPr>
            <w:tcW w:w="0" w:type="dxa"/>
            <w:vAlign w:val="bottom"/>
          </w:tcPr>
          <w:p>
            <w:pPr>
              <w:spacing w:after="0"/>
              <w:rPr>
                <w:sz w:val="1"/>
                <w:szCs w:val="1"/>
                <w:color w:val="auto"/>
              </w:rPr>
            </w:pPr>
          </w:p>
        </w:tc>
      </w:tr>
      <w:tr>
        <w:trPr>
          <w:trHeight w:val="20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Borrowing from group companies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96,094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(96,094)</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contributions from group companies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(14,506)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95,187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(4,919)</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89,764</w:t>
            </w: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95,187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95,681</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9,496</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(110,600)</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89,764</w:t>
            </w:r>
          </w:p>
        </w:tc>
        <w:tc>
          <w:tcPr>
            <w:tcW w:w="0" w:type="dxa"/>
            <w:vAlign w:val="bottom"/>
          </w:tcPr>
          <w:p>
            <w:pPr>
              <w:spacing w:after="0"/>
              <w:rPr>
                <w:sz w:val="1"/>
                <w:szCs w:val="1"/>
                <w:color w:val="auto"/>
              </w:rPr>
            </w:pPr>
          </w:p>
        </w:tc>
      </w:tr>
      <w:tr>
        <w:trPr>
          <w:trHeight w:val="412"/>
        </w:trPr>
        <w:tc>
          <w:tcPr>
            <w:tcW w:w="4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10"/>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Former</w:t>
            </w:r>
          </w:p>
        </w:tc>
        <w:tc>
          <w:tcPr>
            <w:tcW w:w="120" w:type="dxa"/>
            <w:vAlign w:val="bottom"/>
          </w:tcPr>
          <w:p>
            <w:pPr>
              <w:spacing w:after="0"/>
              <w:rPr>
                <w:sz w:val="10"/>
                <w:szCs w:val="10"/>
                <w:color w:val="auto"/>
              </w:rPr>
            </w:pPr>
          </w:p>
        </w:tc>
        <w:tc>
          <w:tcPr>
            <w:tcW w:w="88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Former</w:t>
            </w: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WFOEs as</w:t>
            </w:r>
          </w:p>
        </w:tc>
        <w:tc>
          <w:tcPr>
            <w:tcW w:w="12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VIEs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260" w:type="dxa"/>
            <w:vAlign w:val="bottom"/>
            <w:gridSpan w:val="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​​​The Company</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primary</w:t>
            </w:r>
          </w:p>
        </w:tc>
        <w:tc>
          <w:tcPr>
            <w:tcW w:w="12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and their</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1260" w:type="dxa"/>
            <w:vAlign w:val="bottom"/>
            <w:gridSpan w:val="5"/>
            <w:vMerge w:val="continue"/>
          </w:tcPr>
          <w:p>
            <w:pPr>
              <w:spacing w:after="0"/>
              <w:rPr>
                <w:sz w:val="15"/>
                <w:szCs w:val="15"/>
                <w:color w:val="auto"/>
              </w:rPr>
            </w:pP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​​​beneficiaries</w:t>
            </w:r>
          </w:p>
        </w:tc>
        <w:tc>
          <w:tcPr>
            <w:tcW w:w="27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​​​subsidiaries ​​​Eliminations ​​​Consolidated</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12,210</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(103,919)</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(17,068)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(1,981)</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(110,758)</w:t>
            </w:r>
          </w:p>
        </w:tc>
        <w:tc>
          <w:tcPr>
            <w:tcW w:w="0" w:type="dxa"/>
            <w:vAlign w:val="bottom"/>
          </w:tcPr>
          <w:p>
            <w:pPr>
              <w:spacing w:after="0"/>
              <w:rPr>
                <w:sz w:val="1"/>
                <w:szCs w:val="1"/>
                <w:color w:val="auto"/>
              </w:rPr>
            </w:pPr>
          </w:p>
        </w:tc>
      </w:tr>
      <w:tr>
        <w:trPr>
          <w:trHeight w:val="20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Loan to group companies</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(172,406)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(109,798)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(20,310)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302,514</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2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231F20"/>
              </w:rPr>
              <w:t>(90,037)</w:t>
            </w:r>
          </w:p>
        </w:tc>
        <w:tc>
          <w:tcPr>
            <w:tcW w:w="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231F20"/>
              </w:rPr>
              <w:t>(22,450)</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231F20"/>
              </w:rPr>
              <w:t>(69,361)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581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231F2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(181,267)</w:t>
            </w:r>
          </w:p>
        </w:tc>
        <w:tc>
          <w:tcPr>
            <w:tcW w:w="0" w:type="dxa"/>
            <w:vAlign w:val="bottom"/>
          </w:tcPr>
          <w:p>
            <w:pPr>
              <w:spacing w:after="0"/>
              <w:rPr>
                <w:sz w:val="1"/>
                <w:szCs w:val="1"/>
                <w:color w:val="auto"/>
              </w:rPr>
            </w:pPr>
          </w:p>
        </w:tc>
      </w:tr>
      <w:tr>
        <w:trPr>
          <w:trHeight w:val="210"/>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231F20"/>
              </w:rPr>
              <w:t>(262,443)</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231F20"/>
              </w:rPr>
              <w:t>(132,248)</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(89,671)</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581</w:t>
            </w:r>
          </w:p>
        </w:tc>
        <w:tc>
          <w:tcPr>
            <w:tcW w:w="14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302,514</w:t>
            </w:r>
          </w:p>
        </w:tc>
        <w:tc>
          <w:tcPr>
            <w:tcW w:w="1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(181,267)</w:t>
            </w: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 from group companies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192,716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109,798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(302,514)</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408,404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231F20"/>
              </w:rPr>
              <w:t>(1,015)</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407,389</w:t>
            </w: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408,404</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191,701</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109,798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(302,514)</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407,389</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Detail information of loans to the former VIEs and their subsidiaries is set forth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Amounts due to group companies from the</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Maturity dates</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50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Repayment terms</w:t>
            </w:r>
          </w:p>
        </w:tc>
        <w:tc>
          <w:tcPr>
            <w:tcW w:w="0" w:type="dxa"/>
            <w:vAlign w:val="bottom"/>
          </w:tcPr>
          <w:p>
            <w:pPr>
              <w:spacing w:after="0"/>
              <w:rPr>
                <w:sz w:val="1"/>
                <w:szCs w:val="1"/>
                <w:color w:val="auto"/>
              </w:rPr>
            </w:pPr>
          </w:p>
        </w:tc>
      </w:tr>
      <w:tr>
        <w:trPr>
          <w:trHeight w:val="173"/>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former VIEs and their subsidiaries</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20" w:type="dxa"/>
            <w:vAlign w:val="bottom"/>
            <w:gridSpan w:val="2"/>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3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16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5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Interest due annually, principal due at maturity.</w:t>
            </w:r>
          </w:p>
        </w:tc>
        <w:tc>
          <w:tcPr>
            <w:tcW w:w="0" w:type="dxa"/>
            <w:vAlign w:val="bottom"/>
          </w:tcPr>
          <w:p>
            <w:pPr>
              <w:spacing w:after="0"/>
              <w:rPr>
                <w:sz w:val="1"/>
                <w:szCs w:val="1"/>
                <w:color w:val="auto"/>
              </w:rPr>
            </w:pPr>
          </w:p>
        </w:tc>
      </w:tr>
      <w:tr>
        <w:trPr>
          <w:trHeight w:val="234"/>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Guangzhou (HX) Pony AI Technology Co., Ltd.</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2024</w:t>
            </w:r>
          </w:p>
        </w:tc>
        <w:tc>
          <w:tcPr>
            <w:tcW w:w="160" w:type="dxa"/>
            <w:vAlign w:val="bottom"/>
            <w:shd w:val="clear" w:color="auto" w:fill="CCEEFF"/>
          </w:tcPr>
          <w:p>
            <w:pPr>
              <w:spacing w:after="0"/>
              <w:rPr>
                <w:sz w:val="20"/>
                <w:szCs w:val="20"/>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Fully repaid in August 2024.</w:t>
            </w:r>
          </w:p>
        </w:tc>
        <w:tc>
          <w:tcPr>
            <w:tcW w:w="0" w:type="dxa"/>
            <w:vAlign w:val="bottom"/>
          </w:tcPr>
          <w:p>
            <w:pPr>
              <w:spacing w:after="0"/>
              <w:rPr>
                <w:sz w:val="1"/>
                <w:szCs w:val="1"/>
                <w:color w:val="auto"/>
              </w:rPr>
            </w:pPr>
          </w:p>
        </w:tc>
      </w:tr>
      <w:tr>
        <w:trPr>
          <w:trHeight w:val="198"/>
        </w:trPr>
        <w:tc>
          <w:tcPr>
            <w:tcW w:w="2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Interest due annually, principal due at maturity.</w:t>
            </w:r>
          </w:p>
        </w:tc>
        <w:tc>
          <w:tcPr>
            <w:tcW w:w="0" w:type="dxa"/>
            <w:vAlign w:val="bottom"/>
          </w:tcPr>
          <w:p>
            <w:pPr>
              <w:spacing w:after="0"/>
              <w:rPr>
                <w:sz w:val="1"/>
                <w:szCs w:val="1"/>
                <w:color w:val="auto"/>
              </w:rPr>
            </w:pPr>
          </w:p>
        </w:tc>
      </w:tr>
      <w:tr>
        <w:trPr>
          <w:trHeight w:val="234"/>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Guangzhou (HX) Pony AI Technology Co., Ltd.</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12,566</w:t>
            </w:r>
          </w:p>
        </w:tc>
        <w:tc>
          <w:tcPr>
            <w:tcW w:w="16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2025</w:t>
            </w:r>
          </w:p>
        </w:tc>
        <w:tc>
          <w:tcPr>
            <w:tcW w:w="160" w:type="dxa"/>
            <w:vAlign w:val="bottom"/>
          </w:tcPr>
          <w:p>
            <w:pPr>
              <w:spacing w:after="0"/>
              <w:rPr>
                <w:sz w:val="20"/>
                <w:szCs w:val="20"/>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Fully repaid in January 2024.</w:t>
            </w:r>
          </w:p>
        </w:tc>
        <w:tc>
          <w:tcPr>
            <w:tcW w:w="0" w:type="dxa"/>
            <w:vAlign w:val="bottom"/>
          </w:tcPr>
          <w:p>
            <w:pPr>
              <w:spacing w:after="0"/>
              <w:rPr>
                <w:sz w:val="1"/>
                <w:szCs w:val="1"/>
                <w:color w:val="auto"/>
              </w:rPr>
            </w:pPr>
          </w:p>
        </w:tc>
      </w:tr>
      <w:tr>
        <w:trPr>
          <w:trHeight w:val="198"/>
        </w:trPr>
        <w:tc>
          <w:tcPr>
            <w:tcW w:w="2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Interest and principal due at maturity and unpaid</w:t>
            </w:r>
          </w:p>
        </w:tc>
        <w:tc>
          <w:tcPr>
            <w:tcW w:w="0" w:type="dxa"/>
            <w:vAlign w:val="bottom"/>
          </w:tcPr>
          <w:p>
            <w:pPr>
              <w:spacing w:after="0"/>
              <w:rPr>
                <w:sz w:val="1"/>
                <w:szCs w:val="1"/>
                <w:color w:val="auto"/>
              </w:rPr>
            </w:pPr>
          </w:p>
        </w:tc>
      </w:tr>
      <w:tr>
        <w:trPr>
          <w:trHeight w:val="234"/>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Hongkong Pony AI Limited</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30,086</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2030</w:t>
            </w:r>
          </w:p>
        </w:tc>
        <w:tc>
          <w:tcPr>
            <w:tcW w:w="160" w:type="dxa"/>
            <w:vAlign w:val="bottom"/>
            <w:shd w:val="clear" w:color="auto" w:fill="CCEEFF"/>
          </w:tcPr>
          <w:p>
            <w:pPr>
              <w:spacing w:after="0"/>
              <w:rPr>
                <w:sz w:val="20"/>
                <w:szCs w:val="20"/>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2025.</w:t>
            </w:r>
          </w:p>
        </w:tc>
        <w:tc>
          <w:tcPr>
            <w:tcW w:w="0" w:type="dxa"/>
            <w:vAlign w:val="bottom"/>
          </w:tcPr>
          <w:p>
            <w:pPr>
              <w:spacing w:after="0"/>
              <w:rPr>
                <w:sz w:val="1"/>
                <w:szCs w:val="1"/>
                <w:color w:val="auto"/>
              </w:rPr>
            </w:pPr>
          </w:p>
        </w:tc>
      </w:tr>
      <w:tr>
        <w:trPr>
          <w:trHeight w:val="198"/>
        </w:trPr>
        <w:tc>
          <w:tcPr>
            <w:tcW w:w="2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Interest and principal due at maturity. Fully</w:t>
            </w:r>
          </w:p>
        </w:tc>
        <w:tc>
          <w:tcPr>
            <w:tcW w:w="0" w:type="dxa"/>
            <w:vAlign w:val="bottom"/>
          </w:tcPr>
          <w:p>
            <w:pPr>
              <w:spacing w:after="0"/>
              <w:rPr>
                <w:sz w:val="1"/>
                <w:szCs w:val="1"/>
                <w:color w:val="auto"/>
              </w:rPr>
            </w:pPr>
          </w:p>
        </w:tc>
      </w:tr>
      <w:tr>
        <w:trPr>
          <w:trHeight w:val="234"/>
        </w:trPr>
        <w:tc>
          <w:tcPr>
            <w:tcW w:w="3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Hongkong Pony AI Limited</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6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June 2024</w:t>
            </w:r>
          </w:p>
        </w:tc>
        <w:tc>
          <w:tcPr>
            <w:tcW w:w="160" w:type="dxa"/>
            <w:vAlign w:val="bottom"/>
            <w:tcBorders>
              <w:bottom w:val="single" w:sz="8" w:color="CCEEFF"/>
            </w:tcBorders>
          </w:tcPr>
          <w:p>
            <w:pPr>
              <w:spacing w:after="0"/>
              <w:rPr>
                <w:sz w:val="20"/>
                <w:szCs w:val="20"/>
                <w:color w:val="auto"/>
              </w:rPr>
            </w:pPr>
          </w:p>
        </w:tc>
        <w:tc>
          <w:tcPr>
            <w:tcW w:w="3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repaid in June 2024.</w:t>
            </w:r>
          </w:p>
        </w:tc>
        <w:tc>
          <w:tcPr>
            <w:tcW w:w="0" w:type="dxa"/>
            <w:vAlign w:val="bottom"/>
          </w:tcPr>
          <w:p>
            <w:pPr>
              <w:spacing w:after="0"/>
              <w:rPr>
                <w:sz w:val="1"/>
                <w:szCs w:val="1"/>
                <w:color w:val="auto"/>
              </w:rPr>
            </w:pPr>
          </w:p>
        </w:tc>
      </w:tr>
      <w:tr>
        <w:trPr>
          <w:trHeight w:val="210"/>
        </w:trPr>
        <w:tc>
          <w:tcPr>
            <w:tcW w:w="3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51,910</w:t>
            </w: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5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4"/>
          <w:szCs w:val="14"/>
          <w:color w:val="auto"/>
        </w:rPr>
        <w:t>Note: The balance of loans to the former VIEs and their subsidiaries as of December 31, 2022 were recorded in amounts due to group companies, non-current, while the balance of loans to the former VIEs and their subsidiaries as of December 31, 2023 was recorded in amounts due to group companies, current and non-current.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3.A.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3.B. Capitalization and Indebtedness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3.C. Reason for the Offer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3.D. Risk Factors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please find a summary of the principal risks we face, organized under relevant headings.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9" w:lineRule="exact"/>
        <w:rPr>
          <w:sz w:val="20"/>
          <w:szCs w:val="20"/>
          <w:color w:val="auto"/>
        </w:rPr>
      </w:pPr>
    </w:p>
    <w:p>
      <w:pPr>
        <w:ind w:left="660" w:right="540" w:hanging="328"/>
        <w:spacing w:after="0" w:line="281" w:lineRule="auto"/>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Autonomous driving is an emerging and rapidly evolving technology and involves significant risks and uncertainties. For details, see page 14.</w:t>
      </w:r>
    </w:p>
    <w:p>
      <w:pPr>
        <w:spacing w:after="0" w:line="162" w:lineRule="exact"/>
        <w:rPr>
          <w:rFonts w:ascii="Arial" w:cs="Arial" w:eastAsia="Arial" w:hAnsi="Arial"/>
          <w:sz w:val="18"/>
          <w:szCs w:val="18"/>
          <w:b w:val="1"/>
          <w:bCs w:val="1"/>
          <w:color w:val="auto"/>
        </w:rPr>
      </w:pPr>
    </w:p>
    <w:p>
      <w:pPr>
        <w:ind w:left="660" w:right="200" w:hanging="328"/>
        <w:spacing w:after="0" w:line="265" w:lineRule="auto"/>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limited operating history makes it difficult to predict future prospects, as our past financial results are not indicative of future trends while we are still in the early stage of commercializing our technologies and diversifying our customer base. For details, see page 15.</w:t>
      </w:r>
    </w:p>
    <w:p>
      <w:pPr>
        <w:spacing w:after="0" w:line="177" w:lineRule="exact"/>
        <w:rPr>
          <w:rFonts w:ascii="Arial" w:cs="Arial" w:eastAsia="Arial" w:hAnsi="Arial"/>
          <w:sz w:val="18"/>
          <w:szCs w:val="18"/>
          <w:b w:val="1"/>
          <w:bCs w:val="1"/>
          <w:color w:val="auto"/>
        </w:rPr>
      </w:pPr>
    </w:p>
    <w:p>
      <w:pPr>
        <w:ind w:left="660" w:right="160" w:hanging="328"/>
        <w:spacing w:after="0" w:line="281" w:lineRule="auto"/>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we are no longer able to benefit from our business cooperation with Sinotrans and other related parties, our business may be adversely affected. For details, see page 16.</w:t>
      </w:r>
    </w:p>
    <w:p>
      <w:pPr>
        <w:spacing w:after="0" w:line="162" w:lineRule="exact"/>
        <w:rPr>
          <w:rFonts w:ascii="Arial" w:cs="Arial" w:eastAsia="Arial" w:hAnsi="Arial"/>
          <w:sz w:val="18"/>
          <w:szCs w:val="18"/>
          <w:b w:val="1"/>
          <w:bCs w:val="1"/>
          <w:color w:val="auto"/>
        </w:rPr>
      </w:pPr>
    </w:p>
    <w:p>
      <w:pPr>
        <w:ind w:left="660" w:right="340" w:hanging="328"/>
        <w:spacing w:after="0" w:line="265" w:lineRule="auto"/>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Since markets for autonomous driving technology are still in early stages, if they do not grow as expected or our technology fails to gain acceptance, our business, prospects, operating results, and financial condition could be materially harmed. For details, see page 16.</w:t>
      </w:r>
    </w:p>
    <w:p>
      <w:pPr>
        <w:spacing w:after="0" w:line="177" w:lineRule="exact"/>
        <w:rPr>
          <w:rFonts w:ascii="Arial" w:cs="Arial" w:eastAsia="Arial" w:hAnsi="Arial"/>
          <w:sz w:val="18"/>
          <w:szCs w:val="18"/>
          <w:b w:val="1"/>
          <w:bCs w:val="1"/>
          <w:color w:val="auto"/>
        </w:rPr>
      </w:pPr>
    </w:p>
    <w:p>
      <w:pPr>
        <w:ind w:left="660" w:right="80" w:hanging="328"/>
        <w:spacing w:after="0" w:line="265" w:lineRule="auto"/>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autonomous driving industry is highly competitive, and if we cannot compete effectively with both established competitors and new entrants, our business, financial condition, and results of operations may be materially and adversely affected. For details, see page 17.</w:t>
      </w:r>
    </w:p>
    <w:p>
      <w:pPr>
        <w:spacing w:after="0" w:line="177" w:lineRule="exact"/>
        <w:rPr>
          <w:rFonts w:ascii="Arial" w:cs="Arial" w:eastAsia="Arial" w:hAnsi="Arial"/>
          <w:sz w:val="18"/>
          <w:szCs w:val="18"/>
          <w:b w:val="1"/>
          <w:bCs w:val="1"/>
          <w:color w:val="auto"/>
        </w:rPr>
      </w:pPr>
    </w:p>
    <w:p>
      <w:pPr>
        <w:ind w:left="660" w:right="260" w:hanging="328"/>
        <w:spacing w:after="0" w:line="265" w:lineRule="auto"/>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logistics industry is highly competitive, facing competition from both established players and new entrants. If we are not able to compete effectively with others, our business, financial condition and results of operations may be materially and adversely affected. For details, see page 17.</w:t>
      </w:r>
    </w:p>
    <w:p>
      <w:pPr>
        <w:spacing w:after="0" w:line="177" w:lineRule="exact"/>
        <w:rPr>
          <w:rFonts w:ascii="Arial" w:cs="Arial" w:eastAsia="Arial" w:hAnsi="Arial"/>
          <w:sz w:val="18"/>
          <w:szCs w:val="18"/>
          <w:b w:val="1"/>
          <w:bCs w:val="1"/>
          <w:color w:val="auto"/>
        </w:rPr>
      </w:pPr>
    </w:p>
    <w:p>
      <w:pPr>
        <w:ind w:left="660" w:right="40" w:hanging="328"/>
        <w:spacing w:after="0" w:line="265" w:lineRule="auto"/>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face risks associated with autonomous driving technology and may not be able to develop solutions on schedule, or at all, or develop partnerships with other companies and we may experience significant delays in the design, commercialization and launch of new solutions. For details, see page 18.</w:t>
      </w:r>
    </w:p>
    <w:p>
      <w:pPr>
        <w:spacing w:after="0" w:line="177" w:lineRule="exact"/>
        <w:rPr>
          <w:rFonts w:ascii="Arial" w:cs="Arial" w:eastAsia="Arial" w:hAnsi="Arial"/>
          <w:sz w:val="18"/>
          <w:szCs w:val="18"/>
          <w:b w:val="1"/>
          <w:bCs w:val="1"/>
          <w:color w:val="auto"/>
        </w:rPr>
      </w:pPr>
    </w:p>
    <w:p>
      <w:pPr>
        <w:ind w:left="660" w:hanging="328"/>
        <w:spacing w:after="0" w:line="265" w:lineRule="auto"/>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flaws or misuse of autonomous driving technologies, whether actual or perceived, intended or inadvertent, committed by us or by other third parties, could have a material adverse effect on our reputation, business, financial condition, results of operations and prospects. For details, see page 18.</w:t>
      </w:r>
    </w:p>
    <w:p>
      <w:pPr>
        <w:spacing w:after="0" w:line="177" w:lineRule="exact"/>
        <w:rPr>
          <w:rFonts w:ascii="Arial" w:cs="Arial" w:eastAsia="Arial" w:hAnsi="Arial"/>
          <w:sz w:val="18"/>
          <w:szCs w:val="18"/>
          <w:b w:val="1"/>
          <w:bCs w:val="1"/>
          <w:color w:val="auto"/>
        </w:rPr>
      </w:pPr>
    </w:p>
    <w:p>
      <w:pPr>
        <w:ind w:left="660" w:right="600" w:hanging="328"/>
        <w:spacing w:after="0" w:line="281" w:lineRule="auto"/>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may not be able to successfully implement our go-to market strategies on a timely basis, or at all. If we are unable to manage our growth effectively, our business may be materially and adversely affected. For details, see page 19.</w:t>
      </w:r>
    </w:p>
    <w:p>
      <w:pPr>
        <w:spacing w:after="0" w:line="162" w:lineRule="exact"/>
        <w:rPr>
          <w:rFonts w:ascii="Arial" w:cs="Arial" w:eastAsia="Arial" w:hAnsi="Arial"/>
          <w:sz w:val="18"/>
          <w:szCs w:val="18"/>
          <w:b w:val="1"/>
          <w:bCs w:val="1"/>
          <w:color w:val="auto"/>
        </w:rPr>
      </w:pPr>
    </w:p>
    <w:p>
      <w:pPr>
        <w:ind w:left="660" w:right="280" w:hanging="328"/>
        <w:spacing w:after="0" w:line="281" w:lineRule="auto"/>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operation of vehicles equipped with our autonomous driving technology is different from non-autonomous vehicles, and may be unfamiliar to users. For details, see page 20.</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9" w:lineRule="exact"/>
        <w:rPr>
          <w:sz w:val="20"/>
          <w:szCs w:val="20"/>
          <w:color w:val="auto"/>
        </w:rPr>
      </w:pPr>
    </w:p>
    <w:p>
      <w:pPr>
        <w:ind w:left="660" w:right="140" w:hanging="328"/>
        <w:spacing w:after="0" w:line="281" w:lineRule="auto"/>
        <w:tabs>
          <w:tab w:leader="none" w:pos="66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enforcement of PRC laws and regulations is evolving and subject to change, and changes in policies, laws and regulations in China, could materially and adversely affect us. For details, see page 47.</w:t>
      </w:r>
    </w:p>
    <w:p>
      <w:pPr>
        <w:spacing w:after="0" w:line="162" w:lineRule="exact"/>
        <w:rPr>
          <w:rFonts w:ascii="Arial" w:cs="Arial" w:eastAsia="Arial" w:hAnsi="Arial"/>
          <w:sz w:val="18"/>
          <w:szCs w:val="18"/>
          <w:b w:val="1"/>
          <w:bCs w:val="1"/>
          <w:color w:val="auto"/>
        </w:rPr>
      </w:pPr>
    </w:p>
    <w:p>
      <w:pPr>
        <w:ind w:left="660" w:right="140" w:hanging="328"/>
        <w:spacing w:after="0" w:line="265" w:lineRule="auto"/>
        <w:tabs>
          <w:tab w:leader="none" w:pos="66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could be negatively impacted by possible changes to the U.S. government’s new China-focused Outbound Investment Program; these developments may adversely affect our business, financial condition, results of operations, and the value of the ADSs. For details, see page 48.</w:t>
      </w:r>
    </w:p>
    <w:p>
      <w:pPr>
        <w:spacing w:after="0" w:line="177" w:lineRule="exact"/>
        <w:rPr>
          <w:rFonts w:ascii="Arial" w:cs="Arial" w:eastAsia="Arial" w:hAnsi="Arial"/>
          <w:sz w:val="18"/>
          <w:szCs w:val="18"/>
          <w:b w:val="1"/>
          <w:bCs w:val="1"/>
          <w:color w:val="auto"/>
        </w:rPr>
      </w:pPr>
    </w:p>
    <w:p>
      <w:pPr>
        <w:ind w:left="660" w:right="240" w:hanging="328"/>
        <w:spacing w:after="0" w:line="281" w:lineRule="auto"/>
        <w:tabs>
          <w:tab w:leader="none" w:pos="66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Tensions in international trade and investment and rising political tensions, particularly between the United States and China, may adversely impact our business, financial condition, and results of operations. For details, see page 49.</w:t>
      </w:r>
    </w:p>
    <w:p>
      <w:pPr>
        <w:spacing w:after="0" w:line="162" w:lineRule="exact"/>
        <w:rPr>
          <w:rFonts w:ascii="Arial" w:cs="Arial" w:eastAsia="Arial" w:hAnsi="Arial"/>
          <w:sz w:val="18"/>
          <w:szCs w:val="18"/>
          <w:b w:val="1"/>
          <w:bCs w:val="1"/>
          <w:color w:val="auto"/>
        </w:rPr>
      </w:pPr>
    </w:p>
    <w:p>
      <w:pPr>
        <w:ind w:left="660" w:right="640" w:hanging="328"/>
        <w:spacing w:after="0" w:line="265" w:lineRule="auto"/>
        <w:tabs>
          <w:tab w:leader="none" w:pos="66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are subject to U.S. export controls that could restrict our ability to transfer certain products and technologies, and increasingly restrictive controls toward China’s artificial intelligence industry could limit our ability to obtain advanced semiconductors and other technology needed for product development. For details, see page 52.</w:t>
      </w:r>
    </w:p>
    <w:p>
      <w:pPr>
        <w:spacing w:after="0" w:line="177" w:lineRule="exact"/>
        <w:rPr>
          <w:rFonts w:ascii="Arial" w:cs="Arial" w:eastAsia="Arial" w:hAnsi="Arial"/>
          <w:sz w:val="18"/>
          <w:szCs w:val="18"/>
          <w:b w:val="1"/>
          <w:bCs w:val="1"/>
          <w:color w:val="auto"/>
        </w:rPr>
      </w:pPr>
    </w:p>
    <w:p>
      <w:pPr>
        <w:ind w:left="660" w:right="420" w:hanging="328"/>
        <w:spacing w:after="0" w:line="281" w:lineRule="auto"/>
        <w:tabs>
          <w:tab w:leader="none" w:pos="66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China’s economic, political and social conditions as well as government policies could have a material adverse effect on our business and prospect. For details, see page 52.</w:t>
      </w:r>
    </w:p>
    <w:p>
      <w:pPr>
        <w:spacing w:after="0" w:line="162" w:lineRule="exact"/>
        <w:rPr>
          <w:rFonts w:ascii="Arial" w:cs="Arial" w:eastAsia="Arial" w:hAnsi="Arial"/>
          <w:sz w:val="18"/>
          <w:szCs w:val="18"/>
          <w:b w:val="1"/>
          <w:bCs w:val="1"/>
          <w:color w:val="auto"/>
        </w:rPr>
      </w:pPr>
    </w:p>
    <w:p>
      <w:pPr>
        <w:ind w:left="660" w:right="120" w:hanging="328"/>
        <w:spacing w:after="0" w:line="265" w:lineRule="auto"/>
        <w:tabs>
          <w:tab w:leader="none" w:pos="66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approval, filing or other requirements of the CSRC or other PRC regulatory authorities may be required under PRC law in connection with our future overseas securities offerings, and we cannot predict whether or for how long we will be able to obtain such approval or complete such filing. For details, see page 53.</w:t>
      </w:r>
    </w:p>
    <w:p>
      <w:pPr>
        <w:spacing w:after="0" w:line="177" w:lineRule="exact"/>
        <w:rPr>
          <w:rFonts w:ascii="Arial" w:cs="Arial" w:eastAsia="Arial" w:hAnsi="Arial"/>
          <w:sz w:val="18"/>
          <w:szCs w:val="18"/>
          <w:b w:val="1"/>
          <w:bCs w:val="1"/>
          <w:color w:val="auto"/>
        </w:rPr>
      </w:pPr>
    </w:p>
    <w:p>
      <w:pPr>
        <w:ind w:left="660" w:right="160" w:hanging="328"/>
        <w:spacing w:after="0" w:line="281" w:lineRule="auto"/>
        <w:tabs>
          <w:tab w:leader="none" w:pos="66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You may experience difficulties in effecting service of legal process, enforcing foreign judgments or bringing actions in China against us or our management named in the annual report based on foreign laws. For details, see page 54.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Former VIE Structure</w:t>
      </w:r>
    </w:p>
    <w:p>
      <w:pPr>
        <w:spacing w:after="0" w:line="229" w:lineRule="exact"/>
        <w:rPr>
          <w:sz w:val="20"/>
          <w:szCs w:val="20"/>
          <w:color w:val="auto"/>
        </w:rPr>
      </w:pPr>
    </w:p>
    <w:p>
      <w:pPr>
        <w:ind w:left="660" w:right="100" w:hanging="328"/>
        <w:spacing w:after="0" w:line="280" w:lineRule="auto"/>
        <w:tabs>
          <w:tab w:leader="none" w:pos="660" w:val="left"/>
        </w:tabs>
        <w:numPr>
          <w:ilvl w:val="0"/>
          <w:numId w:val="16"/>
        </w:numPr>
        <w:rPr>
          <w:rFonts w:ascii="Arial" w:cs="Arial" w:eastAsia="Arial" w:hAnsi="Arial"/>
          <w:sz w:val="17"/>
          <w:szCs w:val="17"/>
          <w:b w:val="1"/>
          <w:bCs w:val="1"/>
          <w:color w:val="auto"/>
        </w:rPr>
      </w:pPr>
      <w:r>
        <w:rPr>
          <w:rFonts w:ascii="Times New Roman" w:cs="Times New Roman" w:eastAsia="Times New Roman" w:hAnsi="Times New Roman"/>
          <w:sz w:val="17"/>
          <w:szCs w:val="17"/>
          <w:color w:val="auto"/>
        </w:rPr>
        <w:t>If the PRC regulatory authority determines that the prior contractual arrangements constituting part of the former VIE structure did not comply with PRC regulations, or if these regulations change or are interpreted differently in the future, the ADSs and our Class A ordinary shares may decline in value or become worthless if we are deemed to be unable to assert our contractual control rights over the assets of the former VIEs during the period when the VIE structure existed. For details, see page 63.</w:t>
      </w:r>
    </w:p>
    <w:p>
      <w:pPr>
        <w:spacing w:after="0" w:line="166" w:lineRule="exact"/>
        <w:rPr>
          <w:rFonts w:ascii="Arial" w:cs="Arial" w:eastAsia="Arial" w:hAnsi="Arial"/>
          <w:sz w:val="17"/>
          <w:szCs w:val="17"/>
          <w:b w:val="1"/>
          <w:bCs w:val="1"/>
          <w:color w:val="auto"/>
        </w:rPr>
      </w:pPr>
    </w:p>
    <w:p>
      <w:pPr>
        <w:jc w:val="both"/>
        <w:ind w:left="660" w:right="160" w:hanging="328"/>
        <w:spacing w:after="0" w:line="265" w:lineRule="auto"/>
        <w:tabs>
          <w:tab w:leader="none" w:pos="66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All the agreements under our contractual arrangements were governed by PRC law and provided for the resolution of disputes through arbitration in China. Accordingly, these contracts would be interpreted in accordance with PRC law, and any disputes would be resolved in accordance with PRC legal procedures. For details, see page 63.</w:t>
      </w:r>
    </w:p>
    <w:p>
      <w:pPr>
        <w:spacing w:after="0" w:line="177" w:lineRule="exact"/>
        <w:rPr>
          <w:rFonts w:ascii="Arial" w:cs="Arial" w:eastAsia="Arial" w:hAnsi="Arial"/>
          <w:sz w:val="18"/>
          <w:szCs w:val="18"/>
          <w:b w:val="1"/>
          <w:bCs w:val="1"/>
          <w:color w:val="auto"/>
        </w:rPr>
      </w:pPr>
    </w:p>
    <w:p>
      <w:pPr>
        <w:ind w:left="660" w:hanging="328"/>
        <w:spacing w:after="0" w:line="265" w:lineRule="auto"/>
        <w:tabs>
          <w:tab w:leader="none" w:pos="66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prior contractual arrangements in relation to the former VIEs may be subject to scrutiny by the PRC tax authorities and they may determine that we or the former VIEs owe additional taxes, which could negatively affect our financial condition and the value of your investment. For details, see page 64.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ADSs and Our Ordinary Shares</w:t>
      </w:r>
    </w:p>
    <w:p>
      <w:pPr>
        <w:spacing w:after="0" w:line="229" w:lineRule="exact"/>
        <w:rPr>
          <w:sz w:val="20"/>
          <w:szCs w:val="20"/>
          <w:color w:val="auto"/>
        </w:rPr>
      </w:pPr>
    </w:p>
    <w:p>
      <w:pPr>
        <w:ind w:left="660" w:right="420" w:hanging="328"/>
        <w:spacing w:after="0" w:line="281" w:lineRule="auto"/>
        <w:tabs>
          <w:tab w:leader="none" w:pos="66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trading price of the ADSs and Class A ordinary shares has been and may continue to be volatile, which could result in substantial losses to investors. For details, see page 64.</w:t>
      </w:r>
    </w:p>
    <w:p>
      <w:pPr>
        <w:spacing w:after="0" w:line="162" w:lineRule="exact"/>
        <w:rPr>
          <w:rFonts w:ascii="Arial" w:cs="Arial" w:eastAsia="Arial" w:hAnsi="Arial"/>
          <w:sz w:val="18"/>
          <w:szCs w:val="18"/>
          <w:b w:val="1"/>
          <w:bCs w:val="1"/>
          <w:color w:val="auto"/>
        </w:rPr>
      </w:pPr>
    </w:p>
    <w:p>
      <w:pPr>
        <w:ind w:left="660" w:right="40" w:hanging="328"/>
        <w:spacing w:after="0" w:line="265" w:lineRule="auto"/>
        <w:tabs>
          <w:tab w:leader="none" w:pos="66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securities or industry analysts do not publish research or reports about our business, or if they adversely change their recommendations regarding the ADSs and our Class A ordinary shares, the market price for the ADSs and our Class A ordinary shares and trading volume could decline. For details, see page 65.</w:t>
      </w:r>
    </w:p>
    <w:p>
      <w:pPr>
        <w:spacing w:after="0" w:line="177" w:lineRule="exact"/>
        <w:rPr>
          <w:rFonts w:ascii="Arial" w:cs="Arial" w:eastAsia="Arial" w:hAnsi="Arial"/>
          <w:sz w:val="18"/>
          <w:szCs w:val="18"/>
          <w:b w:val="1"/>
          <w:bCs w:val="1"/>
          <w:color w:val="auto"/>
        </w:rPr>
      </w:pPr>
    </w:p>
    <w:p>
      <w:pPr>
        <w:ind w:left="660" w:right="220" w:hanging="328"/>
        <w:spacing w:after="0" w:line="265" w:lineRule="auto"/>
        <w:tabs>
          <w:tab w:leader="none" w:pos="66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dual-class share structure with different voting rights will limit your ability to influence corporate matters and could discourage others from pursuing any change of control transactions that holders of the ADSs and our Class A ordinary shares may view as beneficial. For details, see page 65.</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Autonomous driving is an emerging and rapidly evolving technology and involves significant risks and uncertainties.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autonomous driving industry can be characterized by a significant number of technical and commercial challenges, including an expectation for better-than-human driving performance, substantial funding requirements, long vehicle development lead times, specialized skills and expertise requirements of personnel, inconsistent and evolving regulatory frameworks, a need to build public trust and brand image, and real-world operation of new technologies. If we are not able to overcome these challenges, our business, prospects, financial condition, and results of operations will be negatively impacted and our efforts to create a commercially viable business may not materialize at all.</w:t>
      </w:r>
    </w:p>
    <w:p>
      <w:pPr>
        <w:spacing w:after="0" w:line="187" w:lineRule="exact"/>
        <w:rPr>
          <w:sz w:val="20"/>
          <w:szCs w:val="20"/>
          <w:color w:val="auto"/>
        </w:rPr>
      </w:pPr>
    </w:p>
    <w:p>
      <w:pPr>
        <w:jc w:val="both"/>
        <w:ind w:right="100" w:firstLine="324"/>
        <w:spacing w:after="0" w:line="289" w:lineRule="auto"/>
        <w:rPr>
          <w:sz w:val="20"/>
          <w:szCs w:val="20"/>
          <w:color w:val="auto"/>
        </w:rPr>
      </w:pPr>
      <w:r>
        <w:rPr>
          <w:rFonts w:ascii="Times New Roman" w:cs="Times New Roman" w:eastAsia="Times New Roman" w:hAnsi="Times New Roman"/>
          <w:sz w:val="17"/>
          <w:szCs w:val="17"/>
          <w:color w:val="auto"/>
        </w:rPr>
        <w:t>Our autonomous driving technology is highly dependent on, among other factors, our proprietary AV software modules, as well as on our partnerships with various third parties such as OEMs, service providers and other suppliers. We develop our autonomous driving technology, and work with OEMs, TNCs, logistics platforms, service providers and other suppliers to deploy and scale our technology.</w:t>
      </w:r>
    </w:p>
    <w:p>
      <w:pPr>
        <w:spacing w:after="0" w:line="15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Although we believe that our autonomous driving technology, including our algorithms, data analytics, and artificial intelligence technologies are promising, we cannot assure you that our technology will succeed commercially. In addition, there can be no assurance that our data analytics and artificial intelligence technologies can predict every single potential issue that may arise during the operation of the autonomous vehicles deployed with our technologies. For example, while we have been optimizing our technology and algorithms in terms of handling non-compliant driving behavior of other cars on the road, we may not always be able to accurately predict the trajectory that a particular road agent is contemplating, and plan and execute our autonomous vehicle’s route accordingly.</w:t>
      </w:r>
    </w:p>
    <w:p>
      <w:pPr>
        <w:spacing w:after="0" w:line="187"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Specifically, the successful development of our autonomous driving technologies involves many challenges and uncertainties, including:</w:t>
      </w:r>
    </w:p>
    <w:p>
      <w:pPr>
        <w:spacing w:after="0" w:line="162" w:lineRule="exact"/>
        <w:rPr>
          <w:sz w:val="20"/>
          <w:szCs w:val="20"/>
          <w:color w:val="auto"/>
        </w:rPr>
      </w:pPr>
    </w:p>
    <w:p>
      <w:pPr>
        <w:ind w:left="660" w:right="280" w:hanging="328"/>
        <w:spacing w:after="0" w:line="281" w:lineRule="auto"/>
        <w:tabs>
          <w:tab w:leader="none" w:pos="66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achieving sufficiently safe autonomous driving performance and earning recognition from regulatory agencies, our partners, users and the general public;</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finalizing autonomous driving system design, specification, and vehicle integration;</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successfully completing system testing, validation, and safety approvals;</w:t>
      </w:r>
    </w:p>
    <w:p>
      <w:pPr>
        <w:spacing w:after="0" w:line="224" w:lineRule="exact"/>
        <w:rPr>
          <w:rFonts w:ascii="Arial" w:cs="Arial" w:eastAsia="Arial" w:hAnsi="Arial"/>
          <w:sz w:val="18"/>
          <w:szCs w:val="18"/>
          <w:b w:val="1"/>
          <w:bCs w:val="1"/>
          <w:color w:val="auto"/>
        </w:rPr>
      </w:pPr>
    </w:p>
    <w:p>
      <w:pPr>
        <w:ind w:left="660" w:right="700" w:hanging="328"/>
        <w:spacing w:after="0" w:line="281" w:lineRule="auto"/>
        <w:tabs>
          <w:tab w:leader="none" w:pos="66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obtaining additional approvals, licenses or certifications from regulatory agencies, if required, and maintaining current approvals, licenses and certifications;</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building and maintaining business partnerships for our R&amp;D and commercialization activities;</w:t>
      </w:r>
    </w:p>
    <w:p>
      <w:pPr>
        <w:spacing w:after="0" w:line="224" w:lineRule="exact"/>
        <w:rPr>
          <w:rFonts w:ascii="Arial" w:cs="Arial" w:eastAsia="Arial" w:hAnsi="Arial"/>
          <w:sz w:val="18"/>
          <w:szCs w:val="18"/>
          <w:b w:val="1"/>
          <w:bCs w:val="1"/>
          <w:color w:val="auto"/>
        </w:rPr>
      </w:pPr>
    </w:p>
    <w:p>
      <w:pPr>
        <w:ind w:left="660" w:right="80" w:hanging="328"/>
        <w:spacing w:after="0" w:line="281" w:lineRule="auto"/>
        <w:tabs>
          <w:tab w:leader="none" w:pos="66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complying with laws and regulations that constantly evolve, such as laws and regulations with respect to accidents and product liabilities;</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preserving intellectual property rights; and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continuing to fund and maintain our technology development activities.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limited operating history makes it difficult to predict future prospects, as our past financial results are not indicative of future trends while we are still in the early stage of commercializing our technologies and diversifying our customer base.</w:t>
      </w:r>
    </w:p>
    <w:p>
      <w:pPr>
        <w:spacing w:after="0" w:line="15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commenced our operations in 2016, began testing on public roads in 2017, and launched our first public facing services in 2018. Our relatively limited operating history makes it difficult to evaluate our current business and prospects and to forecast our future growth. The risks and challenges we have faced or expect to face include our ability to:</w:t>
      </w:r>
    </w:p>
    <w:p>
      <w:pPr>
        <w:spacing w:after="0" w:line="17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continue to develop and successfully commercialize our autonomous driving technology at scale;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properly price our products and services;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plan for and manage capital expenditures for our current and future products;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hire, integrate and retain talented people at all levels of our organization;</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establish and expand our customer base;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forecast our revenue, budget for and manage our expenses as well as improving operational efficiency;</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attract new partners and retain existing partners;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navigate an evolving and complex regulatory environment;</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manage our supply chain and supplier relationships;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maintain a reliable, secure, high-performance, and scalable technology infrastructure;</w:t>
      </w:r>
    </w:p>
    <w:p>
      <w:pPr>
        <w:spacing w:after="0" w:line="224" w:lineRule="exact"/>
        <w:rPr>
          <w:rFonts w:ascii="Arial" w:cs="Arial" w:eastAsia="Arial" w:hAnsi="Arial"/>
          <w:sz w:val="18"/>
          <w:szCs w:val="18"/>
          <w:b w:val="1"/>
          <w:bCs w:val="1"/>
          <w:color w:val="auto"/>
        </w:rPr>
      </w:pPr>
    </w:p>
    <w:p>
      <w:pPr>
        <w:ind w:left="660" w:right="260" w:hanging="328"/>
        <w:spacing w:after="0" w:line="281" w:lineRule="auto"/>
        <w:tabs>
          <w:tab w:leader="none" w:pos="66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anticipate and respond to changes in the markets in which we operate, including technological developments and changes in competitive landscape;</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build a well-recognized and reputable brand;</w:t>
      </w:r>
    </w:p>
    <w:p>
      <w:pPr>
        <w:spacing w:after="0" w:line="224" w:lineRule="exact"/>
        <w:rPr>
          <w:rFonts w:ascii="Arial" w:cs="Arial" w:eastAsia="Arial" w:hAnsi="Arial"/>
          <w:sz w:val="18"/>
          <w:szCs w:val="18"/>
          <w:b w:val="1"/>
          <w:bCs w:val="1"/>
          <w:color w:val="auto"/>
        </w:rPr>
      </w:pPr>
    </w:p>
    <w:p>
      <w:pPr>
        <w:ind w:left="660" w:right="180" w:hanging="328"/>
        <w:spacing w:after="0" w:line="281" w:lineRule="auto"/>
        <w:tabs>
          <w:tab w:leader="none" w:pos="66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effectively manage our growth and business operations, including the impacts of unforeseen market changes on our business; and</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successfully develop new solutions, features and applications to enhance user experience.</w:t>
      </w:r>
    </w:p>
    <w:p>
      <w:pPr>
        <w:spacing w:after="0" w:line="224"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If we fail to address the risks and difficulties that we face, including those associated with the challenges listed above, as well as those described elsewhere in this section, our business, financial condition and results of operations could be adversely affected.</w:t>
      </w:r>
    </w:p>
    <w:p>
      <w:pPr>
        <w:spacing w:after="0" w:line="16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Further, because we have limited historical financial data and operate in a rapidly evolving market, any predictions about our future revenue and expenses may not be as accurate as they would be if we had a longer operating history or operated in a more predictable market. In particular, our historical revenues, cost mix, margin profile and financial results in general are not indicative of future trends as we are still in a nascent stage of commercializing our technologies and diversifying our customer base based on our go-to market strategies. For example, our robotruck services had a relatively low gross margin at its current early stage of commercialization and our robotaxi services had historically only generated a minimal amount of passenger fare revenues due to promotions and discounts offered by us, both of which may not be indicative of their respective future trends. We have encountered in the past, and will encounter in the future, risks and uncertainties frequently experienced by growing companies with limited operating histories in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 longer able to benefit from our business cooperation with Sinotrans and other related parties, our business may be adversely affected.</w:t>
      </w:r>
    </w:p>
    <w:p>
      <w:pPr>
        <w:spacing w:after="0" w:line="11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strategic partner and related party, Sinotrans, is China’s largest freight logistics company, according to CIFA. Our robotruck business has benefited from this partnership, which has enabled us to co-deploy Level 2++ intelligent trucks and Level 4 autonomous trucks throughout Sinotrans’ certain existing logistics network. In 2022, we (as the controlling shareholder) and Sinotrans jointly established Cyantron, a company currently offering paid transportation services to Sinotrans to fulfill its freight orders across China. Cyantron operated a fleet of robotrucks comprising both Level 2++ intelligent trucks and Level 4 autonomous trucks with safety drivers. For the years ended December 31, 2023, 2024 and 2025, we generated revenue of US$22.5 million, US$30.7 million and US$29.6 million, respectively, from transportation service fees paid by Sinotrans to Cyantron Group, representing 31.3%, 40.9% and 32.9% of our total revenues for the same periods, respectively.</w:t>
      </w:r>
    </w:p>
    <w:p>
      <w:pPr>
        <w:spacing w:after="0" w:line="19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Additionally, we also generated revenues of US$0.6 million, US$0.1 million and US$0.1 million, respectively, for the years ended December 31, 2023, 2024 and 2025 from Toyota, a leading OEM and our strategic investor and related party, representing 0.8%, 0.1% and 0.1% of our total revenues for the same periods, respectively. For further details, see “Item 7. Major Shareholders and Related Party Transactions—7.B. Related Party Transactions—Other Related Party Transactions.” In the future, we may further expand our cooperation with such related parties, in which case, their revenue contributions to us may increase although there is no assurance of such expansion.</w:t>
      </w:r>
    </w:p>
    <w:p>
      <w:pPr>
        <w:spacing w:after="0" w:line="187"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We cannot assure you that we will continue to benefit from our cooperation with Sinotrans or other related parties in the future. Particularly, any change in our relationship with Sinotrans, such as reduced freight order volumes, unfavorable changes to contractual terms, or the termination of the partnership, or with other related parties, could result in a decline in our revenue and negatively impact our financial performance. Additionally, if Sinotrans or any other related party that we transact with faces financial difficulties, operational disruptions, or regulatory challenges, our business could be adversely affected. If we are unable to maintain or replace this partnership with Sinotrans or any other key related party, we would need to identify and establish relationships with alternative business partners to commercialize our robotruck or other services. This could involve substantial time, effort, and costs, with no guarantee of success. Furthermore, the loss of access to key strategic assets and opportunities provided by Sinotrans, including its expansive logistics network across China, or by other related parties could materially and adversely affect our business, prospects, results of operations, and financial condition.</w:t>
      </w:r>
    </w:p>
    <w:p>
      <w:pPr>
        <w:spacing w:after="0" w:line="19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Since markets for autonomous driving technology are still in early stages, if they do not grow as expected or our technology fails to gain acceptance, our business, prospects, operating results, and financial condition could be materially harmed.</w:t>
      </w:r>
    </w:p>
    <w:p>
      <w:pPr>
        <w:spacing w:after="0" w:line="15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Demands for the autonomous driving technology depend to a large extent on general, economic, political, and social conditions in a given market. The market opportunities we are pursuing are at an early stage of development, and it is difficult to predict user demand or adoption rates for our technology and service offerings, or the future growth of the markets in which we operate. Despite the fact that the automotive industry has engaged in considerable effort to research and test Level 2 and Level 3 autonomous vehicles, our technology targeting Level 4 autonomous vehicles requires significant investment and may never be commercially successful on a large scale, or at all.</w:t>
      </w:r>
    </w:p>
    <w:p>
      <w:pPr>
        <w:spacing w:after="0" w:line="187" w:lineRule="exact"/>
        <w:rPr>
          <w:sz w:val="20"/>
          <w:szCs w:val="20"/>
          <w:color w:val="auto"/>
        </w:rPr>
      </w:pPr>
    </w:p>
    <w:p>
      <w:pPr>
        <w:ind w:right="60" w:firstLine="324"/>
        <w:spacing w:after="0" w:line="289" w:lineRule="auto"/>
        <w:rPr>
          <w:sz w:val="20"/>
          <w:szCs w:val="20"/>
          <w:color w:val="auto"/>
        </w:rPr>
      </w:pPr>
      <w:r>
        <w:rPr>
          <w:rFonts w:ascii="Times New Roman" w:cs="Times New Roman" w:eastAsia="Times New Roman" w:hAnsi="Times New Roman"/>
          <w:sz w:val="17"/>
          <w:szCs w:val="17"/>
          <w:color w:val="auto"/>
        </w:rPr>
        <w:t>Further, even if we succeed in operating at a commercial scale, key industry participants may not accept our robotaxi, robotruck or other service offerings, develop competing solutions, or otherwise seek to subvert our efforts, because of the disruptive nature of our business to both personal mobility and freight transportation industries. Any such occurrences could materially harm our future business.</w:t>
      </w:r>
    </w:p>
    <w:p>
      <w:pPr>
        <w:spacing w:after="0" w:line="15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Additionally, regulatory, safety, and reliability issues, or the perception thereof, many of which are outside of our control, could also cause the public or our potential partners and users to lose confidence in autonomous driving solutions in general. For example, there have been several crashes involving automobiles of certain manufacturers resulting in death or personal injury where autopilot features were engaged. Even though these incidents were unrelated to our autonomous driving solutions, such cases resulted in significant negative publicity and, in the future, could result in suspension or prohibition of autonomous vehicles. If safety and reliability issues for autonomous driving technology cannot be addressed properly, our business, prospects, operating results, and financial condition could be materially harmed.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autonomous driving industry is highly competitive, and if we cannot compete effectively with both established competitors and new entrants, our business, financial condition, and results of operations may be materially and adversely affected.</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market for autonomous driving solutions is highly competitive. Many companies are seeking to develop autonomous driving solutions. Competition in these markets is based primarily on technology, innovation, quality, safety, reputation, and price. Our future success will depend on our ability to further develop and protect our technology in a timely manner and to stay ahead of existing and new competitors. If our competitors commercialize their technology at scale before we do, develop superior technology, or are perceived to have better technology, they may capture market opportunities and establish relationships with users and partners that might otherwise have been available to us.</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we also face competition from traditional taxi and ride hailing companies as well as freight transportation companies. Traditional carriers operating with human drivers are still the predominant operators in the market. Because of the long history of such traditional transportation companies serving the transportation market, there may be many constituencies in the market that would resist a shift towards autonomous transport, which could include lobbying and marketing campaigns, particularly because our technology will displace taxi and truck drivers. In addition, the market leaders in the automotive industry may start, or have already started, pursuing large-scale deployment of autonomous driving technology on their own. These companies may have more operational and financial resources than we do. We cannot guarantee that we will be able to effectively compete with them. We may also face competition from other technology and automotive supply companies if they decide to expand vertically and develop their own autonomous driving technology, some of whom have significantly greater resources than we do. We do not know how close these competitors are to commercializing autonomous driving solutions.</w:t>
      </w:r>
    </w:p>
    <w:p>
      <w:pPr>
        <w:spacing w:after="0" w:line="194"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Furthermore, many established and new market participants have entered or have announced plans to enter the autonomous driving market. Many of these participants have significantly greater financial, manufacturing, marketing, and other resources than we do and may be able to devote greater resources to the development, commercialization, promotion, sale, and support of their solutions. If existing competitors or new entrants are able to commercialize their autonomous driving technology earlier than expected, our competitive advantage could be adversely affected.</w:t>
      </w:r>
    </w:p>
    <w:p>
      <w:pPr>
        <w:spacing w:after="0" w:line="179" w:lineRule="exact"/>
        <w:rPr>
          <w:sz w:val="20"/>
          <w:szCs w:val="20"/>
          <w:color w:val="auto"/>
        </w:rPr>
      </w:pPr>
    </w:p>
    <w:p>
      <w:pPr>
        <w:jc w:val="both"/>
        <w:ind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logistics industry is highly competitive, facing competition from both established players and new entrants. If we are not able to compete effectively with others, our business, financial condition and results of operations may be materially and adversely affected.</w:t>
      </w:r>
    </w:p>
    <w:p>
      <w:pPr>
        <w:spacing w:after="0" w:line="136"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market for robotrucks and freight transport solutions is highly competitive. Competition in these markets is primarily based on technology, innovation, quality, safety, reputation, and price. Our future success will depend on our ability to further develop and protect our technology in a timely manner and to stay ahead of both existing and new competitors. Our competitors in this market are working towards commercializing autonomous driving technology and may have substantial financial, marketing, research and development, and other resources. If our competitors commercialize their technology at scale before we do, develop superior technology, or are perceived to have better technology, they may capture market opportunities and establish relationships with users and partners that might otherwise have been available to us.</w:t>
      </w:r>
    </w:p>
    <w:p>
      <w:pPr>
        <w:spacing w:after="0" w:line="18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In addition, we face competition from traditional freight transport companies, such as traditional trucking companies, railroads, and air carriers. Traditional shipping fleets and other carriers remain the predominant operators in the market. Given the long history of these traditional freight transport companies, there may be resistance to the shift towards autonomous freight transport.</w:t>
      </w:r>
    </w:p>
    <w:p>
      <w:pPr>
        <w:spacing w:after="0" w:line="17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Furthermore, market leaders in the automotive industry may begin, or may have already started, pursuing large-scale deployment of autonomous vehicle technology on their own. These companies may have more operational and financial resources than we do, and we cannot guarantee that we will be able to effectively compete with them. We may also face competition from top OEM partners and other technology and automotive supply companies if they decide to vertically expand and develop their own robotrucks. Some of these companies may have significantly greater resources than we do, and we do not know how close they are to commercializing autonomous driving systems.</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Many established and new market participants have either entered or announced plans to enter the robotruck market. Most of these participants have significantly greater financial, manufacturing, marketing, and other resources, allowing them to allocate more resources to the design, development, manufacturing, distribution, promotion, sale, and support of their products. If existing competitors or new entrants are able to commercialize earlier than expected, our competitive advantage could be adversely affected.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autonomous driving technology and may not be able to develop solutions on schedule, or at all, or develop partnerships with other companies and we may experience significant delays in the design, commercialization and launch of new solutions.</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autonomous driving technologies are highly technical and complex, and their commercial applications require that we meet very high standards for technological performance and safety. We may be unable to timely release new or upgraded solutions that meet our intended commercial use cases, and we may therefore experience difficulty in the monetization of our technology. These risks are particularly relevant for factors such as our autonomous driving solutions’ operational areas, which includes variables such as traversable road networks, speeds, and weather patterns. It is possible that there will be additional limitations in our operating capabilities depending upon a number of factors, including, for example, vehicle type (e.g., car and truck) and actor density (e.g., pedestrians and cyclists). If that is the case, our addressable market opportunities may be restricted.</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collaborate with OEMs to develop autonomous driving solutions, and we continue to devote resources towards developing our proprietary autonomous driving technologies. Our initiatives may not perform as expected, which would reduce the return on our investments, and our partners may decide to terminate their partnerships with us. If we are unable to efficiently develop and maintain partnerships with the OEMs to offer mobility solutions deployed with our autonomous driving technology, or if we do so at a slower pace or at a higher cost, or if our technology is less capable relative to our competitors, our business, financial condition and results of operations could be adversely affected.</w:t>
      </w:r>
    </w:p>
    <w:p>
      <w:pPr>
        <w:spacing w:after="0" w:line="187"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Commercial deployment has taken longer in the autonomous driving industry than anticipated, and it may take us more time than currently projected to complete our own technology development and commercialization. The achievement of broadly applicable autonomous driving technology will require further technology improvements including, for example, handling non-compliant or unexpected actor behavior and inclement weather conditions. These improvements may take us longer than expected to achieve, which would increase our capital requirements for technology development, delay our timeline to commercialization, and reduce the potential financial returns that may be expected from the business.</w:t>
      </w:r>
    </w:p>
    <w:p>
      <w:pPr>
        <w:spacing w:after="0" w:line="18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flaws or misuse of autonomous driving technologies, whether actual or perceived, intended or inadvertent, committed by us or by other third parties, could have a material adverse effect on our reputation, business, financial condition, results of operations and prospects.</w:t>
      </w:r>
    </w:p>
    <w:p>
      <w:pPr>
        <w:spacing w:after="0" w:line="175"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Autonomous driving technologies are at early stages of development and continue to evolve. Similar to many innovations, autonomous driving technologies present risks and challenges, such as potential misuse by third parties for inappropriate purposes or biased applications which breach public confidence or violate applicable laws and regulations, or litigation or other proceedings initiated by certain individuals claiming for infringement of legitimate rights such as privacy or personality rights. Such misuse could affect customer perception, public opinions, views of policymakers and regulators and result in decreased adoption of autonomous driving technologies. We have adopted a series of measures to prevent the misuse of our technologies, including implementation of relevant policies and management systems in relation to data security and privacy. However, we cannot assure you that any of our existing and future measures will be sufficient. As of the date of this annual report, there had been no material litigation or other proceedings arising from or in relation to any infringement of legitimate rights against us. We cannot assure you that the measures we take to prevent the misuse of our technologies and data protection will always be effective, or that our technologies will not be misused or applied in a way that is inconsistent with our intention or public expectation.</w:t>
      </w:r>
    </w:p>
    <w:p>
      <w:pPr>
        <w:spacing w:after="0" w:line="192"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Furthermore, any inappropriate or abusive usage of autonomous driving technologies, whether actual or perceived, intended or inadvertent and by us or by third parties, may impair the general acceptance of autonomous driving products and services by the society, attract negative publicity and adversely impact our reputation and violate applicable laws and regulations, and subject us to legal or administrative proceedings, pressures from certain shareholders and/or other organizations and heightened scrutiny by the regulators. Each of the foregoing events may in turn materially and adversely affect our business, financial condition and results of operations. Any flaws or deficiencies in autonomous driving technologies and products and services, whether actual or perceived, could materially and adversely affect our business, reputation, results of operations and prospects.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implement our go-to market strategies on a timely basis, or at all. If we are unable to manage our growth effectively, our business may be materially and adversely affected.</w:t>
      </w:r>
    </w:p>
    <w:p>
      <w:pPr>
        <w:spacing w:after="0" w:line="159"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We have limited experience to date in applying our autonomous driving technology at scale. While we currently operate robotaxi and robotruck fleets equipped with our autonomous driving technology, we have not yet achieved large-scale deployment of our robotaxis or robotrucks, and neither have we achieved largescale commercialization of our licensing and applications business. Even if we are successful in developing and commercializing our technology, we could face unexpected difficulties, delays, and cost overruns, which may be due to factors beyond our control, such as unforeseen issues with our technology, problems with OEM partners and/or suppliers, and adverse regulatory developments. Any failure to develop our autonomous driving technology within our projected cost budgets and timelines could have a material adverse effect on our business, prospects, operating results and financial condition.</w:t>
      </w:r>
    </w:p>
    <w:p>
      <w:pPr>
        <w:spacing w:after="0" w:line="18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plan to continue to drive the large-scale commercialization of our technology, including our robotaxi and robotruck services. As we are ramping up our business scale, we may face unknown future challenges and opportunities, substantial risks and expenses in the course of entering new markets and undertaking marketing activities. Furthermore, with our evolving business model, liabilities allocation among our passengers, business partners and third parties pose uncertainties to us and may cause a heightened risk of disputes. The likelihood of our success must be considered in light of these risks, expenses, complications, delays, and the competitive environment in which we operate. There is, therefore, substantial uncertainty that our business model will prove successful and sustainable, and we may not be able to generate significant revenue, raise additional capital, or operate profitably. We will continue to encounter risks and difficulties frequently experienced by early commercial stage companies, including scaling up our infrastructure and headcount, and may be exposed to unforeseen expenses, difficulties, or delays in connection with our growth. In addition, because of the capital-intensive nature of our business, we may be expected to continue to sustain substantial operating expenses without generating sufficient revenue to cover expenditures. Any investment in us is therefore highly speculative and could result in the loss of your entire investment. Our future business depends in large part on our ability to continue to develop and successfully commercialize our autonomous driving technology and other mobility solutions we plan to offer. Our ability to develop, deliver, and commercialize at scale our autonomous driving software and systems to support or perform autonomous operation of various types of vehicles is still unproven. Our continued enhancement of our autonomous driving technology is and will be subject to risks, including with respect to:</w:t>
      </w:r>
    </w:p>
    <w:p>
      <w:pPr>
        <w:spacing w:after="0" w:line="19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continue to enhance data analytics and software technology;</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designing, developing, and securing necessary hardware on acceptable terms and in a timely manner;</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attract, recruit, hire, and train skilled employees; and</w:t>
      </w:r>
    </w:p>
    <w:p>
      <w:pPr>
        <w:spacing w:after="0" w:line="224" w:lineRule="exact"/>
        <w:rPr>
          <w:rFonts w:ascii="Arial" w:cs="Arial" w:eastAsia="Arial" w:hAnsi="Arial"/>
          <w:sz w:val="18"/>
          <w:szCs w:val="18"/>
          <w:b w:val="1"/>
          <w:bCs w:val="1"/>
          <w:color w:val="auto"/>
        </w:rPr>
      </w:pPr>
    </w:p>
    <w:p>
      <w:pPr>
        <w:ind w:left="660" w:right="400" w:hanging="328"/>
        <w:spacing w:after="0" w:line="281" w:lineRule="auto"/>
        <w:tabs>
          <w:tab w:leader="none" w:pos="66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enter into strategic relationships with key players in the mobility industries, as well as hardware and software suppliers.</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we continue to grow our business, we anticipate that we will need to implement a variety of new and upgraded operational systems, procedures and controls, as well as establishing consistent policies and procedures across functions, business lines, and geographic regions. Our failure to upgrade our infrastructure to support our growth could result in unanticipated system disruptions, slow response times, or poor experience for our customers and partners.</w:t>
      </w:r>
    </w:p>
    <w:p>
      <w:pPr>
        <w:spacing w:after="0" w:line="18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Properly managing our growth will also require us to continue to hire, train, and manage a sufficient number of qualified employees, including qualified research and development personnel. All these endeavors involve risks and will require substantial management efforts and skills and significant expenditures. In addition, our growth rates are impacted by various factors, many of which are beyond our control, including competition, growth of autonomous mobility industry in China and other regions around the world, the emergence of alternative technologies or business models, or changes in government policies or general economic conditions. If we are unable to effectively address these challenges, our business operations may be adversely affected and may cause our customers and partners to switch to our competitors’ offerings, which would adversely affect our business, financial condition, and operating results.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operation of vehicles equipped with our autonomous driving technology is different from non-autonomous vehicles, and may be unfamiliar to users.</w:t>
      </w:r>
    </w:p>
    <w:p>
      <w:pPr>
        <w:spacing w:after="0" w:line="15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have specifically developed our autonomous driving technology to provide a superior ability to sense, predict, and react to real-world driving situations. We have developed our proprietary </w:t>
      </w:r>
      <w:r>
        <w:rPr>
          <w:rFonts w:ascii="Times New Roman" w:cs="Times New Roman" w:eastAsia="Times New Roman" w:hAnsi="Times New Roman"/>
          <w:sz w:val="18"/>
          <w:szCs w:val="18"/>
          <w:i w:val="1"/>
          <w:iCs w:val="1"/>
          <w:color w:val="auto"/>
        </w:rPr>
        <w:t>Virtual Driver</w:t>
      </w:r>
      <w:r>
        <w:rPr>
          <w:rFonts w:ascii="Times New Roman" w:cs="Times New Roman" w:eastAsia="Times New Roman" w:hAnsi="Times New Roman"/>
          <w:sz w:val="18"/>
          <w:szCs w:val="18"/>
          <w:color w:val="auto"/>
        </w:rPr>
        <w:t xml:space="preserve"> capability to meet the demands of autonomous vehicles, specifically the robotaxi and robotruck fleets we operate. In certain instances, these protections triggered under our technology may cause the vehicle to behave in ways that are unfamiliar to drivers of non-autonomous vehicles. For example, the autonomous vehicles equipped with our autonomous driving solutions adhere strictly to safety rules, which may not be strictly adhered to by human drivers, and thus may be unfamiliar or come as a surprise to other drivers on the road.</w:t>
      </w:r>
    </w:p>
    <w:p>
      <w:pPr>
        <w:spacing w:after="0" w:line="18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Furthermore, there can be no assurance that our users will be able to properly adapt to the different operation processes for the autonomous vehicles equipped with our autonomous driving solutions. Any accidents resulting from such failure to operate the autonomous vehicles equipped with our solutions properly could harm our brand and reputation, result in adverse publicity, and product liability claims, and have a material adverse effect on our business, prospects, financial condition, and operating results.</w:t>
      </w:r>
    </w:p>
    <w:p>
      <w:pPr>
        <w:spacing w:after="0" w:line="17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is contingent on our ability to successfully maintain, manage, execute and expand on our existing partnerships and obtain new partnerships with other companies.</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Strategic business relationships are and will continue to be an important factor in the growth and success of our business. We have alliances and partnerships with other companies in the automotive and logistics industries to help us to continue to enhance our technology, commercialize our solutions, and drive market acceptance. We have established partnerships with leading OEMs to co-develop and commercialize autonomous vehicles using our technology. We have developed strategic partnerships with major chip manufacturers to secure automotive-grade computing units and other chips used in our autonomous vehicle’s hardware deck. We have collaborated with sensor companies to customize sensor solutions for targeted autonomous vehicles. We also collaborate with TNCs and logistics platforms on the ongoing operations and maintenance of our robotaxi and robotruck fleets, respectively. We also partner with leading logistic players to commercialize our hub-to-hub freight service. We outsource the mapping and surveying activities in connection with our autonomous driving technology to three independent qualified mapping data and surveying suppliers in China to collect and handle the necessary data that support our autonomous driving algorithms and functions. Due to the reliance on these business partners, any interruption of their operations, any failure of them to accommodate our fast-growing business scale, any termination or suspension of our partnership arrangements, any change in cooperation terms, or any deterioration of cooperative relationships with them may materially and adversely affect our business operations and financial condition. We will also need to identify and negotiate additional relationships with other third parties, such as those who can provide data and cloud infrastructure services and financial services. We may not be able to successfully identify and negotiate definitive agreements with these third parties to provide the services we would require on attractive terms or at all, which would cause us to incur increased costs to develop and provide these capabilities.</w:t>
      </w:r>
    </w:p>
    <w:p>
      <w:pPr>
        <w:spacing w:after="0" w:line="193"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Furthermore, cooperation with our OEM partners also provides us with real-world driving and vehicle data necessary to continuously refine our algorithms. Any adverse change to our relationships with our OEM partners may slow down our ability to train and improve our algorithms and improve our autonomous driving technology, which, if realized, may have a material adverse effect on our business, financial condition, and results of operations.</w:t>
      </w:r>
    </w:p>
    <w:p>
      <w:pPr>
        <w:spacing w:after="0" w:line="18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Collaboration with these third parties is subject to risks, some of which are outside our control. For example, we could experience delays in the timeline for the large-scale commercialization of our robotaxi and robotruck services to the extent our OEM partners do not meet agreed upon timelines or experience capacity constraints. Furthermore, as we depend on our collaborations with OEMs to produce vehicles that incorporate our technology, we cannot guarantee the quality of our autonomous vehicles and other products produced by the OEMs. There is risk of potential disputes with our OEM partners, and we could be affected by adverse publicity related to our OEM partners whether or not such publicity is related to their collaboration with us. Our ability to successfully build a premium brand could also be adversely affected by perceptions about the quality of our OEM partners’ vehicle platforms and supplies. Additionally, if any of our partnership agreements with OEMs are terminated, it may delay or prevent our efforts to commercialize our autonomous driving technology at scale. Our current agreements with our OEM partners generally do not prohibit them from working with our competitors. Our competitors may be more effective in providing incentives to our OEM partners to prioritize their cooperation. If these OEM partners commence significant engagement with our competitors, our business and results of operations may be harmed.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extent such agreements contain certain exclusivity provisions, we may be precluded from working with other businesses. We could experience delays to the extent our partners do not meet agreed timelines or experience capacity constraints. We could also experience disagreement in budget or funding for the joint development project. There is also a risk of other potential disputes with partners in the future, including with respect to intellectual property and proprietary rights.</w:t>
      </w:r>
    </w:p>
    <w:p>
      <w:pPr>
        <w:spacing w:after="0" w:line="18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If our existing partner agreements were to be terminated, we may be unable to timely enter into new agreements on terms and conditions acceptable to us or at all. The expense and time required to complete any transition, and to ensure that vehicles provided by the new third-party partners comply with our quality standards and regulatory requirements, may be greater than anticipated. Any of the foregoing could adversely affect our business, results of operations, and financial condition.</w:t>
      </w:r>
    </w:p>
    <w:p>
      <w:pPr>
        <w:spacing w:after="0" w:line="176"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been and intend to continue investing significantly in research and development, and our attempt to develop new solutions and services may be unsuccessful, which may negatively impact our profitability and operating cash flow in the short-term and may not generate the results we expect to achieve.</w:t>
      </w:r>
    </w:p>
    <w:p>
      <w:pPr>
        <w:spacing w:after="0" w:line="17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have been investing heavily in our research and development efforts. Our research and development expenses were US$122.7 million, US$240.2 million, and US$</w:t>
      </w:r>
      <w:r>
        <w:rPr>
          <w:rFonts w:ascii="Times New Roman" w:cs="Times New Roman" w:eastAsia="Times New Roman" w:hAnsi="Times New Roman"/>
          <w:sz w:val="18"/>
          <w:szCs w:val="18"/>
          <w:color w:val="231F20"/>
        </w:rPr>
        <w:t>217.4</w:t>
      </w:r>
      <w:r>
        <w:rPr>
          <w:rFonts w:ascii="Times New Roman" w:cs="Times New Roman" w:eastAsia="Times New Roman" w:hAnsi="Times New Roman"/>
          <w:sz w:val="18"/>
          <w:szCs w:val="18"/>
          <w:color w:val="auto"/>
        </w:rPr>
        <w:t xml:space="preserve"> million for the years ended December 31, 2023, 2024 and 2025, respectively. The industry in which we operate is subject to rapid technological changes and is evolving quickly with technological innovation. We need to invest significant resources, including financial resources, in research and development to make technological advances in order to expand our offerings and make our autonomous driving solutions innovative and competitive in the market. As a result, we expect that our research and development expenses will remain at a relatively high level.</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However, our investments in research and development may not generate corresponding benefits. Development activities are inherently uncertain, and we may not be able to obtain and retain sufficient resources including qualified research and development personnel. Even if we succeed in our research and development efforts and generate the results we expect, we may still encounter practical difficulties in commercializing our development results. Given the fast pace with which autonomous driving technology has been and will continue to be developed, we may not be able to timely upgrade our technologies in an efficient and cost-effective manner, or at all. Despite our research and development expenditures, new technological advancements in the autonomous driving industry could render the technologies and solutions that we develop or expect to develop in the future obsolete or commercially not viable, thereby limiting our ability to recover related research and development expenses, which could result in a decline in our revenues and market share.</w:t>
      </w:r>
    </w:p>
    <w:p>
      <w:pPr>
        <w:spacing w:after="0" w:line="18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substantial regulations and may be adversely affected by changes in automotive safety regulations or concerns that drive further regulation of the automobile safety market.</w:t>
      </w:r>
    </w:p>
    <w:p>
      <w:pPr>
        <w:spacing w:after="0" w:line="15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Our autonomous driving technology and solutions are subject to substantial regulations in China and the United States in which we operate. See “Item 4. Information on the Company—4.B. Business Overview—Regulation” for details. These regulations could include requirements or otherwise that have the effect of significantly delaying or limiting the commercialization of autonomous driving technologies, limiting the number of self-driving vehicles manufactured by our OEM partners, imposing restrictions on the number of vehicles in robotaxi operation and the locations where self-driving fleets may be operated or imposing significant liabilities on manufacturers or operators of autonomous vehicles or developers of autonomous vehicle technology.</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addition, regulations designed to govern autonomous vehicle manufacture and operations, surveying and mapping, driverless road testing, and the collection, processing, storage and use of vehicle and other data, among other things, are still in the early stage of development and the specific regulatory practices vary on different levels of PRC authorities or in different places. For example, on July 27, 2021, the Ministry of Industry and Information Technology (the “MIIT”), the Ministry of Public Security and the Ministry of Transport jointly promulgated the Administration of Road Tests and Demonstrative Application of Intelligent and Connected Vehicles (for Trial Implementation), which regulates the activity of road testing and demonstrative application of autonomous vehicles within the PRC at the national level; however, several cities have released detailed implementing rules in this regard at the regional level, such rules may differ in scope, requirements and implementation standards across regions. Pursuant to these laws and regulations, companies without the requisite license (which is currently subject to foreign investment prohibition and available exclusively to PRC domestic companies) are prohibited from conducting mapping and surveying activities in China. Therefore, we, as a foreign-invested company, have to outsource the mapping and surveying activities in connection with our autonomous driving technology to independent qualified service providers with the requisite license in China, which is permitted by PRC law. These laws and regulations are still relatively new and evolving. If more stringent regulations are implemented, we may not be able to commercialize our autonomous vehicle technology in the manner we expect or at all. We cannot assure you that we will be in full compliance with these applicable laws and regulations in the future. In addition, the costs of complying with such regulations could prevent us from operating our business in the manner we intend. Fines, penalties, costs or liabilities associated with such existing or new regulations or laws, including as a result of our failure to comply, could be substantial and in certain cases joint and several, and could adversely impact our business, prospects, financial condition, and operating results.</w:t>
      </w:r>
    </w:p>
    <w:p>
      <w:pPr>
        <w:spacing w:after="0" w:line="192" w:lineRule="exact"/>
        <w:rPr>
          <w:sz w:val="20"/>
          <w:szCs w:val="20"/>
          <w:color w:val="auto"/>
        </w:rPr>
      </w:pPr>
    </w:p>
    <w:p>
      <w:pPr>
        <w:ind w:right="260" w:firstLine="324"/>
        <w:spacing w:after="0" w:line="274" w:lineRule="auto"/>
        <w:rPr>
          <w:sz w:val="20"/>
          <w:szCs w:val="20"/>
          <w:color w:val="auto"/>
        </w:rPr>
      </w:pPr>
      <w:r>
        <w:rPr>
          <w:rFonts w:ascii="Times New Roman" w:cs="Times New Roman" w:eastAsia="Times New Roman" w:hAnsi="Times New Roman"/>
          <w:sz w:val="17"/>
          <w:szCs w:val="17"/>
          <w:color w:val="auto"/>
        </w:rPr>
        <w:t>In particular, government vehicle safety regulations have a substantial impact on our business, prospects, and future plans. Government safety regulations are subject to change based on a number of factors that are not within our control, including new scientific or technological data, adverse publicity regarding industry recalls and safety risks associated with autonomous driving technology, accidents involving autonomous vehicles, domestic and foreign political developments or considerations, and litigation relating to autonomous vehicles. Changes in government regulations, especially in our industry could adversely affect our business. If government priorities shift and we are unable to adapt to changing regulations, our business may be materially and adversely affected.</w:t>
      </w:r>
    </w:p>
    <w:p>
      <w:pPr>
        <w:spacing w:after="0" w:line="17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costs of complying with safety regulations could increase as regulators impose more stringent compliance and reporting requirements in response to product recalls and safety issues in the automotive industry. As the autonomous vehicles that carry our systems go into production, we would be subject to existing stringent requirements under relevant laws and regulations. On July 30, 2021, the MIIT issued the Opinion on Strengthening the Access Administration of Intelligent Connected Vehicles Manufacturing Enterprises and Their Products, which strengthens the safety management of products with autopilot function and provides that where the enterprises find any serious problem in any automobile product manufactured or sold by them with respect to driving assistance and autonomous driving security, they shall, in accordance with the laws and regulations, immediately cease the production or sale of the relevant product, take measures to rectify, as well as report to the MIIT and the local competent departments.</w:t>
      </w:r>
    </w:p>
    <w:p>
      <w:pPr>
        <w:spacing w:after="0" w:line="192"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In the United States, we are subject to the requirements under the National Traffic and Motor Vehicle Safety Act of 1966 (the “Vehicle Safety Act”), including a duty to report, subject to strict timing requirements, safety defects. The Vehicle Safety Act imposes potentially significant civil penalties for violations including the failure to comply with such reporting actions. We are also subject to the existing Transportation Recall Enhancement, Accountability and Documentation Act (the “TREAD Act”), which requires motor vehicle equipment manufacturers to comply with “Early Warning” requirements by reporting certain information to the NHTSA such as information related to defects or reports of injury. The TREAD Act imposes criminal liability for violating such requirements if a defect subsequently causes death or bodily injury. In addition, the Vehicle Safety Act authorizes the NHTSA to require a manufacturer to recall and repair vehicles that contain safety defects or fail to comply with the United States federal motor vehicle safety standards. Sales into foreign countries outside of the United States may be subject to similar regulations. The United States Department of Transportation issued regulations in 2016 that require manufacturers of certain autonomous vehicles to provide documentation covering specific topics to regulators, such as how automated systems detect objects on the road, how information is displayed to drivers, what cybersecurity measures are in place and the methods used to test the design and validation of autonomous driving solutions. If the obligations associated with complying with safety regulations increase, it may require increased resources, divert management’s attention, and adversely affect our business. If we fail to timely address any safety concerns with our solutions or products equipped with our solutions, our business, results of operations, and financial condition will be adversely affected.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experienced negative cash flows from operating activities, incurred net losses and recorded total shareholders’ deficit historically. We are expected to incur significant expenses and experience significant cash outflows in the foreseeable future. Our ability to generate profits and positive cash flow in the future is uncertain.</w:t>
      </w:r>
    </w:p>
    <w:p>
      <w:pPr>
        <w:spacing w:after="0" w:line="175" w:lineRule="exact"/>
        <w:rPr>
          <w:sz w:val="20"/>
          <w:szCs w:val="20"/>
          <w:color w:val="auto"/>
        </w:rPr>
      </w:pPr>
    </w:p>
    <w:p>
      <w:pPr>
        <w:ind w:right="120" w:firstLine="324"/>
        <w:spacing w:after="0" w:line="273" w:lineRule="auto"/>
        <w:rPr>
          <w:sz w:val="20"/>
          <w:szCs w:val="20"/>
          <w:color w:val="auto"/>
        </w:rPr>
      </w:pPr>
      <w:r>
        <w:rPr>
          <w:rFonts w:ascii="Times New Roman" w:cs="Times New Roman" w:eastAsia="Times New Roman" w:hAnsi="Times New Roman"/>
          <w:sz w:val="17"/>
          <w:szCs w:val="17"/>
          <w:color w:val="auto"/>
        </w:rPr>
        <w:t>We have experienced significant cash outflow from operating activities historically. We had net cash used in operating activities of US$115.4 million, US$110.8 million, and US$</w:t>
      </w:r>
      <w:r>
        <w:rPr>
          <w:rFonts w:ascii="Times New Roman" w:cs="Times New Roman" w:eastAsia="Times New Roman" w:hAnsi="Times New Roman"/>
          <w:sz w:val="17"/>
          <w:szCs w:val="17"/>
          <w:color w:val="231F20"/>
        </w:rPr>
        <w:t>165.0</w:t>
      </w:r>
      <w:r>
        <w:rPr>
          <w:rFonts w:ascii="Times New Roman" w:cs="Times New Roman" w:eastAsia="Times New Roman" w:hAnsi="Times New Roman"/>
          <w:sz w:val="17"/>
          <w:szCs w:val="17"/>
          <w:color w:val="auto"/>
        </w:rPr>
        <w:t xml:space="preserve"> million for the years ended December 31, 2023, 2024 and 2025, respectively. We cannot guarantee that we will achieve positive cash flows in the future. The cost of continuing operations could further reduce our cash position, and an increase in our net cash outflow from operating activities could adversely affect our operations by reducing the amount of cash available for our operations and business expansion. Failure to generate positive cash flow from operations may adversely affect our ability to raise capital for our business on reasonable terms, if at all. It may also diminish the willingness of our customers, OEM partners, or suppliers or other parties to enter into transactions with us, and have other adverse effects that harm our long-term viability.</w:t>
      </w:r>
    </w:p>
    <w:p>
      <w:pPr>
        <w:spacing w:after="0" w:line="171"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Our business will require a significant amount of capital expenditure to support our growth. For example, we expect to continue incur substantial capital expenditure primarily relating to maintaining, upgrading and scaling our robotaxi and robotruck fleets to serve our users and remain competitive. The aging of our fleets will require us to make regular capital expenditures to maintain our level of service. In addition, changing competitive conditions or the emergence of any significant advances in autonomous driving technology could require us to invest significant capital in additional equipment or capacity in order to remain competitive. If we are unable to fund any such investment or otherwise fail to invest in new vehicles, our business, financial condition or results of operations could be materially and adversely affected. Our future liquidity and ability to make additional capital investments will depend primarily on our ability to maintain sufficient cash generated from operating activities and to obtain adequate external financing. There can be no assurance that we will be able to obtain equity or other sources of financing.</w:t>
      </w:r>
    </w:p>
    <w:p>
      <w:pPr>
        <w:spacing w:after="0" w:line="18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Furthermore, we have incurred net losses historically. For the years ended December 31, 2023, 2024 and 2025, we incurred net loss of US$125.3 million, US$275.0 million and US$</w:t>
      </w:r>
      <w:r>
        <w:rPr>
          <w:rFonts w:ascii="Times New Roman" w:cs="Times New Roman" w:eastAsia="Times New Roman" w:hAnsi="Times New Roman"/>
          <w:sz w:val="18"/>
          <w:szCs w:val="18"/>
          <w:color w:val="231F20"/>
        </w:rPr>
        <w:t>76.8</w:t>
      </w:r>
      <w:r>
        <w:rPr>
          <w:rFonts w:ascii="Times New Roman" w:cs="Times New Roman" w:eastAsia="Times New Roman" w:hAnsi="Times New Roman"/>
          <w:sz w:val="18"/>
          <w:szCs w:val="18"/>
          <w:color w:val="auto"/>
        </w:rPr>
        <w:t xml:space="preserve"> million, respectively, and our total shareholders’ equity was US$1,709.0 million as of December 31, 2025. Our significant losses resulted primarily from the investments we made to grow our business, including research and development of new technologies and enhancement of our current technologies, development and launch of new solution features, increase in the scale of our robotaxi and robotruck services, expansion into existing and new markets, increase in sales and marketing efforts and continued investment in our commercialization. We expect that these costs and investments will increase and fluctuate as our business continue to scale and evolve. We also expect to incur additional general and administrative expenses and compliance costs. These expenditures may make it difficult for us to achieve profitability, and we cannot predict whether we will achieve profitability in the near term or at all. Furthermore, the costs actually incurred could exceed our expectations, and the investments may be unsuccessful and therefore cannot generate adequate revenue and cash flow, if any at all.</w:t>
      </w:r>
    </w:p>
    <w:p>
      <w:pPr>
        <w:spacing w:after="0" w:line="19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sourced from third-party suppliers key materials and components used in the production of our robotaxi and robotruck fleets, which involves certain risks that may result in increased costs, pricing fluctuations, delayed deliveries of our products or services and other quality or compliance issues. If one or more of these third-party suppliers becomes inoperable, capacity-constrained or if operations are disrupted, our business, results of operations or financial condition could be materially and adversely affected.</w:t>
      </w:r>
    </w:p>
    <w:p>
      <w:pPr>
        <w:spacing w:after="0" w:line="180"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source from third-party suppliers certain key components that are used on autonomous vehicles equipped with our autonomous driving technology, including our robotaxi and robotruck fleets. Such components include LiDAR, high-resolution camera, radars, chips, sensors, GNSS/IMU and computation platform. Our engineers customize and develop hardware solutions on top of the components purchased from these suppliers, such as sensor fusion module and computation system, to bring high performance components together with our proprietary software, resulting in an integrated full-stack system. As we have limited control over quality, manufacturing yield, development, enhancement and delivery schedules with respect to these key components, delays or other problems experienced by our suppliers in their design, manufacturing, assembly or testing process could affect our business operations negatively.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are subject to the risk of shortages and long lead times in the supply of these components and the risk that our suppliers discontinue or modify components used in our hardware solutions. In addition, most of our agreements with our third-party suppliers are non-exclusive. Our suppliers may dedicate more resources to other companies, including our competitors. We may in the future experience component shortages and price fluctuations of certain key components and materials, and the predictability of the availability and pricing of these components may be limited. In the event of a component shortage, supply interruption or material pricing change from suppliers of these components, we may not be able to develop alternative sources in a timely manner or at all in the case of sole or limited sources. Developing alternative sources of supply for these components may be difficult, time-consuming and costly and we may not be able to source these components on terms that are acceptable to us, or at all, which may undermine our ability to meet our requirements or to maintain and expand our robotaxi and robotruck fleets in a cost-effective manner. Any interruption or delay in the supply of any of these parts or components, or the inability to obtain these parts or components from alternative sources at acceptable prices and within a reasonable amount of time, would adversely affect our ability to meet scheduled deliveries of our integrated hardware solutions. This could adversely affect our relationships with our customers, business partners and passengers, and could cause delays in our ability to expand our operations of robotaxi and robotruck fleets. Even where we are able to pass increased component costs along to our customers, there may be a lapse of time before we are able to do so such that we must absorb the increased cost initially. If we are unable to purchase these components in quantities sufficient to meet our requirements on a timely basis, we will not be able to have sufficient ability to meet user demands, which may result in users selecting competitive services instead of ours.</w:t>
      </w:r>
    </w:p>
    <w:p>
      <w:pPr>
        <w:spacing w:after="0" w:line="19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continue to attract new customers and retain existing customers, manage our relationship with them or increase their reliance on our solutions could materially and adversely affect our business, results of operations and financial condition.</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At the current stage of commercialization, our customers consist primarily of (i) OEMs and TNCs with respect to our robotaxi services, (ii) OEMs and logistics platforms with respect to our robotruck services, and (iii) sensor and hardware component suppliers and other industry participants with respect to our licensing and applications business. In addition to individual customers who are passengers of our robotaxi services, we had 52, 112 and </w:t>
      </w:r>
      <w:r>
        <w:rPr>
          <w:rFonts w:ascii="Times New Roman" w:cs="Times New Roman" w:eastAsia="Times New Roman" w:hAnsi="Times New Roman"/>
          <w:sz w:val="18"/>
          <w:szCs w:val="18"/>
          <w:color w:val="231F20"/>
        </w:rPr>
        <w:t>213</w:t>
      </w:r>
      <w:r>
        <w:rPr>
          <w:rFonts w:ascii="Times New Roman" w:cs="Times New Roman" w:eastAsia="Times New Roman" w:hAnsi="Times New Roman"/>
          <w:sz w:val="18"/>
          <w:szCs w:val="18"/>
          <w:color w:val="auto"/>
        </w:rPr>
        <w:t xml:space="preserve"> corporate customers in 2023, 2024 and 2025, respectively. These customers include Chinese companies and multinational companies operating at various scales along the autonomous driving value chain, including vehicle manufacturing, logistics, and AV software and hardware design and manufacturing. Given our early stage of commercial developments, we have historically generated modest amounts of revenues from a small group of customers when we transitioned from technology development to commercialization. Our top three customers in the aggregate accounted for 65.8%, 43.9% and </w:t>
      </w:r>
      <w:r>
        <w:rPr>
          <w:rFonts w:ascii="Times New Roman" w:cs="Times New Roman" w:eastAsia="Times New Roman" w:hAnsi="Times New Roman"/>
          <w:sz w:val="18"/>
          <w:szCs w:val="18"/>
          <w:color w:val="231F20"/>
        </w:rPr>
        <w:t>59.3</w:t>
      </w:r>
      <w:r>
        <w:rPr>
          <w:rFonts w:ascii="Times New Roman" w:cs="Times New Roman" w:eastAsia="Times New Roman" w:hAnsi="Times New Roman"/>
          <w:sz w:val="18"/>
          <w:szCs w:val="18"/>
          <w:color w:val="auto"/>
        </w:rPr>
        <w:t>% of our revenues in 2023, 2024 and 2025, respectively. There was one customer who was one of our top three customers in each year of 2023, 2024 and 2025. As we continue to commercialize our autonomous driving technology through executing our go-to-market strategies, our customer profiles may constantly and materially change, and accordingly we anticipate our revenue streams to continue to expand, which will diversify our customer base and profiles, although there is no guarantee that we will be able to achieve such goals. Furthermore, if we fail to maintain relationship with these customers, or fail to continue to attract new customers, or if our customers or passengers reduce the use of our solutions for any reason, our business, results of operations and financial condition may be adversely affected.</w:t>
      </w:r>
    </w:p>
    <w:p>
      <w:pPr>
        <w:spacing w:after="0" w:line="19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implementation and validation processes of our solutions could be lengthy and unpredictable, and are subject to risks of contract cancellation, postponement, supply chain shortages, or unsuccessful solution implementation.</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autonomous driving solutions are technologically complex and designed for applications in settings with high safety standards. Depending on the complexity of the autonomous driving solutions, the implementation and validation processes of the solutions may be lengthy and unpredictable. As such, we must typically invest significant resources before generating any revenues, which presents a risk to our ability to forecast our results of operations and manage our business operations. In addition to the large upfront investment required prior to commercialization, our partners may cancel or postpone implementation of our solutions due to an internal strategy shift or other reasons beyond our control, which may adversely affect our business and financial performance.</w:t>
      </w:r>
    </w:p>
    <w:p>
      <w:pPr>
        <w:spacing w:after="0" w:line="183"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address the service requirements and expectations of our users could harm our reputation and may materially and adversely affect our business, results of operations or financial condition.</w:t>
      </w:r>
    </w:p>
    <w:p>
      <w:pPr>
        <w:spacing w:after="0" w:line="15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believe our focus on customer services and support is critical to attracting new users, retaining existing users and growing our business. We have invested in training our customer support team and improving the quality of our customer services. However, we have limited experience servicing our users, and our customer services team may not be able to maintain a high standard for themselves going forward for reasons such as budgetary constraints and employee losses, which could adversely affect our reputation and ability to retain and bring in users.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use third-party providers of cloud infrastructure to operate our business. Any disruption in the operations of these third-party providers, limitations on capacity or interference with our use could adversely affect our business, financial condition and results of operations.</w:t>
      </w:r>
    </w:p>
    <w:p>
      <w:pPr>
        <w:spacing w:after="0" w:line="94"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research and development efforts and day-to-day operations are highly dependent on cloud infrastructure, including those operated by third-party vendors. We engage with local third-party providers across various markets. Any user or non-user data collected in these jurisdictions is stored and maintained locally within the respective service provider’s facilities, in compliance with applicable local laws and regulations. We do not control, or in some cases have limited control over, the operation of this cloud infrastructure. Any limitation on the capacity of such cloud infrastructure could impede our ability to onboard new customers or expand the usage of our existing customers, which could adversely affect our business, financial condition and results of operations. In addition, any incident affecting the cloud infrastructure we use that may be caused by cyber-attacks, natural disasters, fire, flood, severe storm, earthquake, power loss, outbreaks of contagious diseases, telecommunications failures, terrorist or other attacks, geopolitical conflict, physical security threats or other events beyond our control could negatively affect the cloud portion of our platform. A prolonged service disruption affecting our cloud infrastructure for any of the foregoing reasons would negatively impact our ability to serve our customers and partners and could damage our reputation with current and potential customers and partners, expose us to liability, cause us to lose customers and partners or otherwise harm our business. We may also incur significant costs for using alternative providers or taking other actions in preparation for, or in response to, events that damage the third-party hosting services we use. In the event that our service agreements relating to our cloud infrastructure are terminated, or there is a lapse of service, elimination of services or features that we utilize, interruption of internet service provider connectivity or damage to such facilities, we could experience interruptions in access to our systems and services, as well as significant delays and additional expense in arranging or creating new facilities and services or re-architecting our services for deployment on a different cloud infrastructure service provider, which could adversely affect our business, financial condition and results of operations.</w:t>
      </w:r>
    </w:p>
    <w:p>
      <w:pPr>
        <w:spacing w:after="0" w:line="12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insufficient computing resources, transmission bandwidth and storage space, which could result in disruptions and our business, results of operations and financial condition could be adversely affected.</w:t>
      </w:r>
    </w:p>
    <w:p>
      <w:pPr>
        <w:spacing w:after="0" w:line="9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operations are dependent in part upon transmission bandwidth provided by third-party telecommunications network providers, access to data centers to house our servers and other computing resources. There can be no assurance that we are adequately prepared for unexpected increases in bandwidth and data center demands by our customers and partners. The bandwidth and data centers we use may become unavailable for a variety of reasons, including service outages, payment disputes, network providers going out of business, natural disasters, networks imposing traffic limits, or governments adopting regulations that impact network operations. These bandwidth providers may become unwilling to sell us adequate transmission bandwidth at fair market prices, if at all. This risk is heightened where market power is concentrated with one or a few major networks. We also may be unable to move quickly enough to augment capacity to reflect growing traffic or security demands. Failure to put in place the capacity we require could result in a reduction in, or disruption of, service to our customers and ultimately a loss of those customers which could, in turn, have a material adverse effect on our business, results of operations, financial condition, and prospect.</w:t>
      </w:r>
    </w:p>
    <w:p>
      <w:pPr>
        <w:spacing w:after="0" w:line="10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require a significant amount of capital to fund our operations and growth. If we cannot obtain sufficient capital on acceptable terms, our business, financial condition and prospects may be materially and adversely affected.</w:t>
      </w:r>
    </w:p>
    <w:p>
      <w:pPr>
        <w:spacing w:after="0" w:line="9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development and commercialization of our autonomous driving technology and solutions are capital-intensive. We require a significant amount of capital and resources for our operations, research and development, large-scale production and deployment of our autonomous vehicles, and continued growth. In particular, we expect to incur substantial and potentially increasing research and development costs. It may take a long time to realize returns on such investments, if at all.</w:t>
      </w:r>
    </w:p>
    <w:p>
      <w:pPr>
        <w:spacing w:after="0" w:line="11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To date, we have financed our operations primarily through the issuance of equity securities. We will need to raise additional capital to continue to fund our research and development and commercialization activities and to improve our liquidity position. Our ability to obtain the necessary financing to carry out our business plan is subject to a number of factors, including general market volatility, our financial condition, investor acceptance of our business plan, regulatory requirements, and the successful development of our autonomous driving technology. These factors may make the timing, amount, terms, and conditions of such financing unattractive or unavailable to us.</w:t>
      </w:r>
    </w:p>
    <w:p>
      <w:pPr>
        <w:spacing w:after="0" w:line="106"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may raise these additional funds through the issuance of equity, equity-related, or debt securities. To the extent that we raise additional financing by issuing equity securities or equity-linked securities, our shareholders may experience substantial dilution, and to the extent we engage in debt financing, we may become subject to restrictive covenants that could limit our flexibility in conducting future business activities. Financial institutions may request credit enhancement such as third-party guarantees and pledges of equity interest in order to extend loans to us. We cannot be certain that additional funds will be available to us on attractive terms when required, or at all. If we cannot raise additional funds when we need them, our financial condition, results of operations, business, and prospects could be materially adversely affected.</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possible that the unit economics of our autonomous vehicles do not materialize as expected, which could adversely affect our business, financial condition and results of operations.</w:t>
      </w:r>
    </w:p>
    <w:p>
      <w:pPr>
        <w:spacing w:after="0" w:line="15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Our business model is partially premised on our future expectations and assumptions regarding unit economics of our robotaxi and robotruck services, as labor costs associated with human drivers are largely removed from the overall cost structure and each vehicle can operate for extended hours. There are uncertainties in these assumptions, and we may not be able to achieve the unit economics we expect for many reasons, including but not limited to costs of hardware, other fixed and variable costs associated with autonomous vehicle production and operation, useful life of autonomous vehicles, vehicle utilization and product and service pricing. To manage hardware costs, we must engineer cost-effective designs for our sensors, computers and vehicles, achieve adequate scale, and continue to enable software improvements. In addition, we must continuously push initiatives to optimize other cost components such as maintenance and insurance costs. This will require significant coordination with our business partners and suppliers. Adequate cost management may not materialize as expected, or at all, which would have material adverse effects on our business prospects.</w:t>
      </w:r>
    </w:p>
    <w:p>
      <w:pPr>
        <w:spacing w:after="0" w:line="188"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Autonomous driving technology and solutions are new to market, and the appropriate pricing is still being assessed by the market. To date, we have not yet begun large-scale production of our robotaxi and robotruck fleets and are exploring with our partners to commence such production under our go-to market strategies. Additionally, increased competition may result in pricing pressure and reduced margins and may impede our ability to increase revenue or cause us to lose market share, any of which could materially and adversely affect our business, financial condition and results of operations. Unfavorable changes in any of these or other economics-related factors, many of which are beyond our control, could materially and adversely affect our business, prospects, financial condition and results of operations.</w:t>
      </w:r>
    </w:p>
    <w:p>
      <w:pPr>
        <w:spacing w:after="0" w:line="18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laws and regulations on the autonomous driving industry in the jurisdictions we operate in are evolving and subject to change, and changes in these laws and regulations may materially and adversely affect us.</w:t>
      </w:r>
    </w:p>
    <w:p>
      <w:pPr>
        <w:spacing w:after="0" w:line="15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operate in the autonomous driving industry, which is subject to substantial uncertainty relating to laws and regulations across jurisdictions in which we operate. The laws and regulations governing the autonomous driving industry are relatively new and evolving, and their interpretation and enforcement involve significant uncertainties. As a result, in certain circumstances it may be difficult to determine what actions or omissions may be deemed to be in violation of applicable laws and regulations and furthermore, we cannot assure you that we have complied or will be able to comply with all applicable laws at all times. Consequently, we could face the risks of being subject to governmental investigations, orders by competent authorities for rectification, administrative penalties or other legal proceedings and our ability to expand our business and sustain our growth may be negatively affected.</w:t>
      </w:r>
    </w:p>
    <w:p>
      <w:pPr>
        <w:spacing w:after="0" w:line="18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For example, we experienced an accident in October 2021 where one of our vehicles operating under our driverless permit in Fremont, California hit a road center divider and a traffic sign during a lane change. There were no injuries or third parties involved in this accident. Following our internal investigation, we concluded that this incident was caused by a software glitch, and therefore we corrected the software that was then integrated in three vehicles. We subsequently filed a recall notice at NHTSA’s request. The NHTSA initiated a review in relation to this accident and our recall announcement, and the California Department of Motor Vehicles suspended our driverless testing permit. NHTSA closed its review on January 16, 2025 and we have not received any further inquiry, notice or investigation from the NHTSA as of the date of this annual report.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Furthermore, the regulatory framework governing the autonomous driving industry in China has been constantly evolving. See “Item</w:t>
      </w:r>
    </w:p>
    <w:p>
      <w:pPr>
        <w:spacing w:after="0" w:line="39" w:lineRule="exact"/>
        <w:rPr>
          <w:sz w:val="20"/>
          <w:szCs w:val="20"/>
          <w:color w:val="auto"/>
        </w:rPr>
      </w:pPr>
    </w:p>
    <w:p>
      <w:pPr>
        <w:ind w:right="200" w:firstLine="8"/>
        <w:spacing w:after="0" w:line="251"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the Company—4.B. Business Overview—Regulation—Regulations on Autonomous Driving” for more information. The interpretation and application of existing and new PRC laws, regulations and policies related to the autonomous driving industry involve certain uncertainties that could impact our business. For example, our cooperation with third parties to engage in business may be subject to license, approval or other regulatory requirements if regulatory authorities required us to obtain such license rather than relying upon third parties or obtain such approval in relation to our collaborations with third parties. If the PRC regulatory authorities consider that we operate our business without the necessary licenses or approvals, or failed to fully comply with the regulatory requirements, it can impose various sanctions, including fines, income confiscation, business license revocation, discontinuation of our relevant business, adjustment of our current operations and restrictions on our affected business area. Any of these actions by the PRC regulatory authorities could adversely affect our business and results of operations.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product liability, be compelled to undertake product recalls or other actions, which could adversely affect our brand image, financial condition, results of operations, and growth prospects.</w:t>
      </w:r>
    </w:p>
    <w:p>
      <w:pPr>
        <w:spacing w:after="0" w:line="159"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Our vehicle domain controller products or autonomous driving technology generally present the risk of significant injury, including fatalities. We may be subject to claims if our products or technology is involved in accidents and passenger injuries. The occurrence of any errors or defects in our vehicle domain controller products or autonomous vehicles integrated with our technology could make us liable for damages and legal claims. In addition, we could incur significant costs to correct such issues, potentially including product recalls. Any negative publicity related to the perceived quality of our products or technology and the perceived safety of vehicles deploying our technology could affect our brand image, partners and end-customer demands, and could materially and adversely affect our business, financial condition and results of operations. Also, liability claims may result in litigation, including class actions, the occurrence of which could be costly, lengthy and distracting and could materially and adversely affect our business, financial condition and results of operations.</w:t>
      </w:r>
    </w:p>
    <w:p>
      <w:pPr>
        <w:spacing w:after="0" w:line="148"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Any product recall of ours or our partners may result in adverse publicity, damage our brand and could materially and adversely affect our business, financial condition and results of operations. We have in the past initiated, and may in the future initiate recalls voluntarily or involuntarily if any of our products or vehicles powered by our autonomous driving technology prove to be defective or non-compliant with applicable motor vehicle safety standards in China and other regions around the world. Such recalls involve significant expense and diversion of management attention and other resources, which could materially and adversely affect our brand image in our target markets, as well as our business, prospects, financial condition and results of operations.</w:t>
      </w:r>
    </w:p>
    <w:p>
      <w:pPr>
        <w:spacing w:after="0" w:line="14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Along with the commercialization of our technology, we may be required to obtain specialized insurance, which may not be available to the capacity or on the terms that we require to achieve the economics we expect. Further, any insurance that we carry may not be sufficient or it may not apply to all situations. Similarly, our partners could be subjected to claims as a result of such accidents and bring legal claims against us to attempt to hold us liable. Any of these events could materially and adversely affect our brand, relationships with partners, business, financial condition or results of operations.</w:t>
      </w:r>
    </w:p>
    <w:p>
      <w:pPr>
        <w:spacing w:after="0" w:line="15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adequately obtain, maintain, enforce and protect our intellectual property and other proprietary rights may undermine our competitive position and could materially and adversely affect our business, prospects, results of operations or financial condition.</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rely on proprietary technology and we are dependent on our ability to protect such technology. In particular, our success depends on our ability to obtain, maintain, enforce and protect our brand, trademarks, patents, domain names, copyrights, trade secrets, know-how, confidential information, proprietary software and other proprietary methods and technologies, whether registered or not, that we developed under intellectual property laws of the PRC, the United States and other jurisdictions, so that we can prevent others from using our inventions and proprietary information. We generally attempt to protect our technology through a combination of patent, trademark, copyright and trade secret laws, license agreements, intellectual property assignment agreements, employee and third-party nondisclosure and confidentiality agreements and other similar contractual provisions. However, despite our efforts to obtain, maintain, enforce and protect our intellectual property and proprietary information, there can be no assurance that such efforts will be adequate to prevent unauthorized use of our confidential information, intellectual property, or technology, or to prevent our competitors or other third parties from unintentionally or willfully copying, reverse engineering or otherwise obtaining and using our technology, solutions, or proprietary information. Intellectual property rights are generally territorial and we may not be able to obtain protection (e.g. in connection with patents or trademarks) in certain jurisdictions where we do business because of local laws, local filings or other reasons. Monitoring unauthorized use and disclosures of our intellectual property, proprietary technology, or proprietary information can be difficult and expensive and we cannot be sure that the steps we have taken will prevent misappropriation or infringement of our intellectual property rights or proprietary information.</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cannot be certain that we are the first party to file a patent application in relation to a certain invention. If another party has filed a patent application to the same subject matter as we have, and such application has priority against our patent application, our patent application may be rejected or invalidated for lack of novelty or obviousness. In addition, we cannot assure you that our intellectual property rights will not be challenged, invalidated or circumvented, or that our intellectual property will be sufficient to provide us with competitive advantages. Because of the rapid pace of technological change, we cannot assure you that all of our innovative solutions and proprietary technologies will be patented in a timely or cost-effective manner, or at all. Failure to adequately obtain, maintain, enforce and protect our intellectual property could result in our competitors offering identical, similar or superior products, potentially resulting in the loss of our competitive advantage and a decrease in our revenue, which would adversely affect our business, market share, prospects, financial condition and results of operation.</w:t>
      </w:r>
    </w:p>
    <w:p>
      <w:pPr>
        <w:spacing w:after="0" w:line="148"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measures we generally take to obtain, maintain, protect and enforce our intellectual property and proprietary information, including preventing unauthorized use by third parties, may not be effective for various reasons, including the following:</w:t>
      </w:r>
    </w:p>
    <w:p>
      <w:pPr>
        <w:spacing w:after="0" w:line="16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patent applications we file may not be granted;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may not be the first party to file a patent application in relation to a certain invention;</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scope of our issued patents may not be broad enough to protect our inventions and proprietary technology;</w:t>
      </w:r>
    </w:p>
    <w:p>
      <w:pPr>
        <w:spacing w:after="0" w:line="224" w:lineRule="exact"/>
        <w:rPr>
          <w:rFonts w:ascii="Arial" w:cs="Arial" w:eastAsia="Arial" w:hAnsi="Arial"/>
          <w:sz w:val="18"/>
          <w:szCs w:val="18"/>
          <w:b w:val="1"/>
          <w:bCs w:val="1"/>
          <w:color w:val="auto"/>
        </w:rPr>
      </w:pPr>
    </w:p>
    <w:p>
      <w:pPr>
        <w:ind w:left="660" w:right="260" w:hanging="328"/>
        <w:spacing w:after="0" w:line="281" w:lineRule="auto"/>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issued patents may be challenged by our competitors or other third parties, which could result in a court or governmental agency invalidating, narrowing the scope of, or rendering unenforceable our patents;</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patents have a finite term, and competitors and other third parties may offer products identical or similar to those covered by our patent after the patent expiration;</w:t>
      </w:r>
    </w:p>
    <w:p>
      <w:pPr>
        <w:spacing w:after="0" w:line="162" w:lineRule="exact"/>
        <w:rPr>
          <w:rFonts w:ascii="Arial" w:cs="Arial" w:eastAsia="Arial" w:hAnsi="Arial"/>
          <w:sz w:val="18"/>
          <w:szCs w:val="18"/>
          <w:b w:val="1"/>
          <w:bCs w:val="1"/>
          <w:color w:val="auto"/>
        </w:rPr>
      </w:pPr>
    </w:p>
    <w:p>
      <w:pPr>
        <w:ind w:left="660" w:right="280" w:hanging="328"/>
        <w:spacing w:after="0" w:line="265" w:lineRule="auto"/>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may fail to enter into the necessary agreements to prevent disclosure, third-party infringement or misappropriation of our proprietary information, and even if entered into, these agreements may be limited as to their term and may not provide an adequate remedy in the event of unauthorized disclosure or use of proprietary information;</w:t>
      </w:r>
    </w:p>
    <w:p>
      <w:pPr>
        <w:spacing w:after="0" w:line="177" w:lineRule="exact"/>
        <w:rPr>
          <w:rFonts w:ascii="Arial" w:cs="Arial" w:eastAsia="Arial" w:hAnsi="Arial"/>
          <w:sz w:val="18"/>
          <w:szCs w:val="18"/>
          <w:b w:val="1"/>
          <w:bCs w:val="1"/>
          <w:color w:val="auto"/>
        </w:rPr>
      </w:pPr>
    </w:p>
    <w:p>
      <w:pPr>
        <w:ind w:left="660" w:right="760" w:hanging="328"/>
        <w:spacing w:after="0" w:line="281" w:lineRule="auto"/>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employees, contractors or business partners may willfully breach their confidentiality, non-disclosure and non-use obligations;</w:t>
      </w:r>
    </w:p>
    <w:p>
      <w:pPr>
        <w:spacing w:after="0" w:line="162" w:lineRule="exact"/>
        <w:rPr>
          <w:rFonts w:ascii="Arial" w:cs="Arial" w:eastAsia="Arial" w:hAnsi="Arial"/>
          <w:sz w:val="18"/>
          <w:szCs w:val="18"/>
          <w:b w:val="1"/>
          <w:bCs w:val="1"/>
          <w:color w:val="auto"/>
        </w:rPr>
      </w:pPr>
    </w:p>
    <w:p>
      <w:pPr>
        <w:ind w:left="660" w:right="220" w:hanging="328"/>
        <w:spacing w:after="0" w:line="281" w:lineRule="auto"/>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proprietary information and technology may become otherwise known or be independently developed by our competitors and other third parties;</w:t>
      </w:r>
    </w:p>
    <w:p>
      <w:pPr>
        <w:spacing w:after="0" w:line="162" w:lineRule="exact"/>
        <w:rPr>
          <w:rFonts w:ascii="Arial" w:cs="Arial" w:eastAsia="Arial" w:hAnsi="Arial"/>
          <w:sz w:val="18"/>
          <w:szCs w:val="18"/>
          <w:b w:val="1"/>
          <w:bCs w:val="1"/>
          <w:color w:val="auto"/>
        </w:rPr>
      </w:pPr>
    </w:p>
    <w:p>
      <w:pPr>
        <w:ind w:left="660" w:right="60" w:hanging="328"/>
        <w:spacing w:after="0" w:line="281" w:lineRule="auto"/>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costs associated with enforcing patents or other intellectual property rights, confidentiality provisions, invention assignment or similar agreements may make enforcement impracticable; and</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competitors and other third parties may circumvent or otherwise design around our patents or other intellectual property rights.</w:t>
      </w:r>
    </w:p>
    <w:p>
      <w:pPr>
        <w:spacing w:after="0" w:line="224" w:lineRule="exact"/>
        <w:rPr>
          <w:sz w:val="20"/>
          <w:szCs w:val="20"/>
          <w:color w:val="auto"/>
        </w:rPr>
      </w:pPr>
    </w:p>
    <w:p>
      <w:pPr>
        <w:ind w:right="620" w:firstLine="324"/>
        <w:spacing w:after="0" w:line="266" w:lineRule="auto"/>
        <w:rPr>
          <w:sz w:val="20"/>
          <w:szCs w:val="20"/>
          <w:color w:val="auto"/>
        </w:rPr>
      </w:pPr>
      <w:r>
        <w:rPr>
          <w:rFonts w:ascii="Times New Roman" w:cs="Times New Roman" w:eastAsia="Times New Roman" w:hAnsi="Times New Roman"/>
          <w:sz w:val="18"/>
          <w:szCs w:val="18"/>
          <w:color w:val="auto"/>
        </w:rPr>
        <w:t>Third parties may seek to invalidate our patents, trademarks, copyrights, trade secrets or other intellectual property rights, or applications for any of the foregoing, which, if successful, could permit our competitors or other third parties to develop and commercialize products and technologies that are identical, similar or superior to ours.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While we have registered and applied for trademarks in an effort to protect our brand and goodwill with customers or passengers, competitors or other third parties may oppose our trademark applications, seek to invalidate our trademarks or otherwise challenge our use of the trademarks. Such oppositions and challenges can be expensive and may adversely affect our ability to maintain the goodwill gained in connection with a particular trademark. Furthermore, we may lose some of our current, applied-for trademarks if we are unable to submit statements of use with relevant regulatory authorities across jurisdictions by the applicable deadline to perfect such trademark rights. Additionally, if we lose the ability to use our domain name “www.pony.ai”, whether due to trademark claims, failure to renew the applicable registration, or any other cause, we may be forced to market our offerings under a new domain name, which could cause us substantial harm, or to incur significant expense in order to purchase rights to the domain name in question. We may also be unable to prevent third parties from acquiring and using domain names that infringe on, are similar to, or otherwise decrease the value of our brand or our trademarks. Protecting, maintaining, and enforcing our rights in the domain name may require litigation, which could result in substantial costs and diversion of resources, which could in turn adversely affect our business, financial condition, and operating results.</w:t>
      </w:r>
    </w:p>
    <w:p>
      <w:pPr>
        <w:spacing w:after="0" w:line="19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Preventing any unauthorized use of our intellectual property and proprietary information is difficult and costly and the steps we generally take may be inadequate to prevent the infringement, misappropriation or other violation of our intellectual property and proprietary rights. Litigation may be necessary to enforce our intellectual property and proprietary rights, determine the validity and scope of our rights or those of another party, or defend against claims of infringement, misappropriation, violation or invalidity. Such litigation could be costly, time-consuming and distracting to management, result in a diversion of significant resources, the narrowing or invalidation of portions of our intellectual property, all of which would have an adverse effect on our business, operating results and financial condition. Our efforts to enforce our intellectual property rights may be undermined by defenses, counterclaims and countersuits attacking the validity and enforceability of our intellectual property rights or alleging that we infringe, misappropriate or otherwise violate the counterclaimant’s own intellectual property rights. Any of our patents, trade secrets, copyrights, trademarks or other intellectual property rights could be challenged by others or invalidated through administrative process or litigation. We can provide no assurance that we will prevail in such litigation. In addition, our proprietary methods and technologies that are regarded as trade secrets may be leaked or otherwise become available to, or be independently discovered by, our competitors or other third parties, and in these cases we would not be able to assert any trade secret rights against those parties. Costly and time-consuming litigation could be necessary to enforce and determine the scope of our trade secrets, and failure to obtain or maintain protection for our proprietary information could adversely affect our competitive business position. To the extent that our employees, consultants, contractors, and other third parties use intellectual property owned by others in their work for us, disputes may arise as to the rights in related or resulting know-how and inventions.</w:t>
      </w:r>
    </w:p>
    <w:p>
      <w:pPr>
        <w:spacing w:after="0" w:line="193"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There can be no assurance that our particular methods of protecting our intellectual property and proprietary rights, including business decisions about when to file patent applications and trademark applications, will be adequate to protect our business or that our competitors will not independently develop similar or superior technology. Monitoring unauthorized use and disclosures of our proprietary technology or confidential information can be difficult and expensive. If we fail to protect and enforce our intellectual property and proprietary rights adequately, our competitors might gain access to our technology and this could adversely affect our business, operating results and financial condition.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sued by third parties for alleged infringement, misappropriation or other violation of their proprietary technology or other intellectual property rights, which could be time-consuming and costly and result in significant legal liability or require us to cease using certain technology or other intellectual property rights, which could harm our business, financial condition, operating results, and reputation.</w:t>
      </w:r>
    </w:p>
    <w:p>
      <w:pPr>
        <w:spacing w:after="0" w:line="18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cannot be certain that the conduct of our business does not and will not infringe or misappropriate intellectual property or proprietary rights of third parties. Companies, organizations or individuals, including our current and future competitors, may hold or obtain patents, trademarks or other proprietary rights that would prevent, limit or interfere with our ability to make, use, develop or sell our solutions, which could affect the operation of our business. From time to time, we may receive inquiries from patent or trademark holders inquiring whether we are infringing their intellectual property or other proprietary rights and/or seek court declarations that third party patent and trademarks holders do not infringe upon our intellectual property rights and/or our application to register trademarks or patents may be rejected due to their similarity with certain existing registered trademarks or patents owned by third parties. Companies holding patents or other intellectual property rights relating to autonomous driving technology or other related technology may bring suits alleging infringement of such rights or otherwise asserting their rights and/or seeking licenses. We may fail to conduct, from time to time, freedom to operate or clearance searches before launching new products, brands or services. If we are determined to have infringed upon a third party’s intellectual property or other proprietary rights, we may be required to do one or more of the following:</w:t>
      </w:r>
    </w:p>
    <w:p>
      <w:pPr>
        <w:spacing w:after="0" w:line="19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cease selling, incorporating or using solutions that incorporate the third party’s intellectual property or proprietary information;</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pay for substantial damages;</w:t>
      </w:r>
    </w:p>
    <w:p>
      <w:pPr>
        <w:spacing w:after="0" w:line="224" w:lineRule="exact"/>
        <w:rPr>
          <w:rFonts w:ascii="Arial" w:cs="Arial" w:eastAsia="Arial" w:hAnsi="Arial"/>
          <w:sz w:val="18"/>
          <w:szCs w:val="18"/>
          <w:b w:val="1"/>
          <w:bCs w:val="1"/>
          <w:color w:val="auto"/>
        </w:rPr>
      </w:pPr>
    </w:p>
    <w:p>
      <w:pPr>
        <w:ind w:left="660" w:right="40" w:hanging="328"/>
        <w:spacing w:after="0" w:line="281" w:lineRule="auto"/>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obtain a license from the holder of the infringed intellectual property, which license may not be available on reasonable terms or at all; or</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redesign our technology.</w:t>
      </w:r>
    </w:p>
    <w:p>
      <w:pPr>
        <w:spacing w:after="0" w:line="22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 successful claim of infringement against us and our failure or inability to obtain a license to the infringed technology could materially and adversely affect our business, financial condition, results of operations and reputation. In addition, any litigation or claims, whether successful or not, could result in substantial costs and diversion of resources and management’s attention.</w:t>
      </w:r>
    </w:p>
    <w:p>
      <w:pPr>
        <w:spacing w:after="0" w:line="17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also license intellectual property rights from third parties, including in connection with commercial partnership and collaboration agreements and we may face claims by third parties that our use of such licensed intellectual property infringes their rights. In such cases, we may seek indemnification from our licensors under our license contracts with them. However, our rights to indemnification may be unavailable or insufficient to cover our costs and losses, depending on our use of the technology, whether we choose to retain control over conduct of the litigation, and other factors.</w:t>
      </w:r>
    </w:p>
    <w:p>
      <w:pPr>
        <w:spacing w:after="0" w:line="179"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certain open source technology in our business, which could expose us to information security vulnerabilities, result in failures, errors and defects, or subject us to possible litigation or to certain unfavorable conditions.</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use open source software in connection with certain of our technologies.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Accordingly, we cannot assure that the authors of such open source software will implement or push updates to address security risks or will not abandon further development and maintenance. In addition, the public availability of such software may make it easier for others to compromise our technology. Many of the risks associated with the use of open source software cannot be eliminated, and could, if not properly addressed, negatively affect our business, our intellectual property and the security of our systems, products and services. To the extent that our systems depend upon the successful operation of the open source software it uses, any undetected errors or defects in such open source software could prevent the deployment or impair the functionality of our systems or applications, delay the introduction of new solutions, result in a failure of our systems, products or services, and injure our reputation. For example, undetected errors or defects in open source software could render it vulnerable to breaches or security attacks and make our systems more vulnerable to data breaches.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Furthermore, some open source software licenses require users who distribute open source software as part of their proprietary software, or derive proprietary software from or based on open source software, or link proprietary code to open source software, to publicly disclose all or part of the source code to such proprietary software and/or make available any derivative works of the open source code on unfavorable terms or at no cost. In some circumstances, distribution of our software that is derived from open source software or incorporating or linking to or otherwise in connection with open source software could require that we disclose and license some or all of our proprietary source code in that software, as well as distribute our products that use particular open source software at no cost to the user. We generally try to use open source software in a manner that will not require the disclosure of the source code to our proprietary software or prevent us from charging fees to our customers or passengers for the use of our proprietary software. However, we cannot guarantee that these efforts will be successful, and thus, there is a risk that the use of open source may ultimately preclude us from charging fees for the use of certain software, require us to replace certain code used in our products and/or services, pay a royalty to use some open source code, make the source code publicly available, or discontinue certain software. The release of the source code of our proprietary software, could substantially help our competitors develop products that are similar to or better than ours with lower development effort and time and ultimately could result in a loss of our competitive advantage.</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Open source license terms are often ambiguous and there is little legal precedent governing their interpretation. Accordingly, there is a risk that these licenses could be construed in a way that could impose unanticipated obligations, conditions or restrictions regarding our ability to provide or distribute our products and technologies. Companies that incorporate open source software into their products have, in the past, faced claims seeking enforcement of open source license provisions and claims asserting ownership of open source software incorporated into their product. As a result, we could be subject to lawsuits by parties claiming ownership of what we believe to be open source software or claiming non-compliance with the terms and conditions of an open source license, and we could incur significant legal costs defending ourselves against such allegations. If we were held to have breached or to have failed to fully comply with such terms and conditions, we could face infringement claims or other liability, or could be required to seek costly licenses from third parties to continue providing our technology on terms that are not economically feasible, to re-engineer our system, or to make generally available, in source code form our proprietary code, any of which could adversely affect our business, financial condition and operating results.</w:t>
      </w:r>
    </w:p>
    <w:p>
      <w:pPr>
        <w:spacing w:after="0" w:line="190" w:lineRule="exact"/>
        <w:rPr>
          <w:sz w:val="20"/>
          <w:szCs w:val="20"/>
          <w:color w:val="auto"/>
        </w:rPr>
      </w:pPr>
    </w:p>
    <w:p>
      <w:pPr>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comply with data privacy, data protection, and information security requirements and we are subject to cyber-attacks, security incidents and data breaches, which could adversely affect our business, financial condition and results of operations.</w:t>
      </w:r>
    </w:p>
    <w:p>
      <w:pPr>
        <w:spacing w:after="0" w:line="13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depend significantly on our technology infrastructure, IT systems, data and other equipment and systems to conduct virtually all of our business operations, ranging from our internal operations and research to development activities and communications with our users, partners and suppliers. In connection therewith, our business operations, including our autonomous driving solutions, collect, store, transmit and otherwise process data from vehicles, users, employees, drivers and/or other third parties, some of which may include personal, confidential, sensitive or proprietary information. Organizations such as ours are increasingly subject to various attacks on their networks, systems and endpoints, and, given the nature of the data that we collect, use and store, internal or external individuals or entities may attempt to penetrate our network security, or that of our products and solutions, including by sabotaging or misappropriating our proprietary information or that of our users, partners, employees and suppliers, or by causing interruptions to our solutions. For example, we may experience cyber-attacks of varying degrees and other attempts to gain unauthorized access to our systems from time to time, including by way of malware, phishing attacks, ransomware attacks, denial of service attacks, brute-force attacks or other means, any of which can result in disclosure of confidential information and intellectual property, product defects, production downtimes or compromised data, including personal information. These cybersecurity threats and attacks can originate from various sources, such as individuals, groups of hackers and sophisticated organizations, who may in the future attempt to gain unauthorized access to modify, alter and use our vehicles, products and systems in order to (i) gain control of, (ii) change the functionality, user interface and performance characteristics of or (iii) gain access to data stored in or generated by, our vehicles, products and systems, and such attempts may even culminate in “mega breaches” targeted against cloud services and other hosted software. As the techniques used to obtain unauthorized access or sabotage information systems and networks change frequently and generally are not identified until they are launched against a target, even if we take all reasonable precautions, including to the extent required by law, we may be unable to anticipate these attacks or to implement adequate preventative measures, and we may not become aware in a timely manner of such a security breach, which may exacerbate any damage we experience.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While we take reasonable measures to prevent unauthorized access to our products, solutions and systems, including measures to protect and maintain the security of any personal, confidential and/or proprietary information stored thereon, there can be no assurance that such systems and measures will not be compromised as a result of intentional or unintentional misconduct. For example, outside parties may attempt to fraudulently induce our employees, service providers, customers and/or passengers to disclose sensitive information in order to gain access to our data or the data or accounts of our users or other parties, and although we have policies restricting access to the information we store, there is a risk that these policies may not be effective in all cases. We depend on our employees, service providers and contractors to appropriately handle confidential and sensitive information, including personal information, and to deploy our IT resources in a safe and secure manner that does not expose our network systems to security breaches or the loss of data. Any data security incidents, including internal malfeasance by our employees, unauthorized access or usage, virus or similar breach or disruption against us or our service providers could result in loss of confidential or proprietary or personal information, damage to our reputation, loss of customers and/or passengers, loss of revenue, private claims and litigation (including class action lawsuits), regulatory investigations, governmental fines, penalties and other liabilities.</w:t>
      </w:r>
    </w:p>
    <w:p>
      <w:pPr>
        <w:spacing w:after="0" w:line="19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also rely on systems provided by third parties, which may also suffer security breaches or unauthorized access to or disclosure of personal, confidential or proprietary information. Our systems and those of third parties on which we rely may also be subject to damage or interruption from physical theft, fire, terrorist attacks, natural disasters, power loss, war, telecommunications failures, computer viruses, computer denial or degradation of service attacks, malware, ransomware, phishing attacks, social engineering schemes, domain name spoofing, insider theft or misuse or other attempts to harm our products, solutions and systems.</w:t>
      </w:r>
    </w:p>
    <w:p>
      <w:pPr>
        <w:spacing w:after="0" w:line="18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Third parties using our solutions (including customers, passengers, or partners) could experience successful cyberattacks, security incidents or disruptions in service which could cause customers and/or passengers to lose confidence in the security of our solutions, including where such incidents involve a failure by those third parties to adequately deploy protection measures or updates to our solutions and regardless of whether any actual loss or theft of data occurred. Such cyberattacks and other security incidents aimed at our products and services could further lead to third-party claims that our product failures have caused damage to our customers and/or passengers, a risk that is enhanced by the increasingly connected nature of our products and solutions, which could lead not only to loss of customer, end user and partner confidence in the security of our products and solutions, but also to indemnity obligations, impairment to our business and resulting fees, costs, expenses, loss of revenues and other potential liabilities and harms to our business. See “Item 3. Key Information—3.D. Risk Factors—Risks Related to Our Business and Industry—Any error, bug, vulnerability, systems defect or failure, disruption or unauthorized access, such as cyber-attacks, to the servers, networks, IT infrastructure and data processing systems we rely on due to internal or external factors could diminish demand for our products and services, harm our business, our reputation, our financial condition and results of operations and subject us to liability.” In addition, if a high-profile security breach occurs within our industry, our current and potential customers and/or passengers may lose trust in the security and safety of our systems, products, solutions and information even if we are not directly affected. Furthermore, regardless of their veracity, reports of unauthorized access to our vehicles, systems or data, as well as other factors that may result in the perception that our vehicles, systems or data are capable of being “hacked,” could negatively affect our brand and customer confidence in our products and solutions.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error, bug, vulnerability, systems defect or failure, disruption or unauthorized access, such as cyber-attacks, to the servers, networks, IT infrastructure and data processing systems we rely on due to internal or external factors could diminish demand for our products and services, harm our business, our reputation, our financial condition and results of operations and subject us to liability.</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rely in part upon the stable performance of our servers and third-party servers, networks, IT infrastructure, including third-party cloud infrastructure, and data processing systems for the provision of our products and solutions, and our success relies on our passengers’ ability to access our solutions at any time. Disruptions to such servers, networks, assets or systems may occur due to internal or external factors, such as inappropriate maintenance, infrastructure changes, hardware or software defects or other defects or malfunctions in the servers, distributed denial-of-service and other cyber-attacks or other malicious attacks or hacks targeted at us or such third parties, occurrence of catastrophic events, such as earthquakes, hurricanes, floods, fires, natural disasters, power losses, disruptions in telecommunications services, fraud, military or political conflicts, terrorist attacks, computer viruses, ransomware, malware or human errors. For example, our data centers or our third-party service providers’ or vendors’ data centers could be subject to break-ins, sabotage, theft and intentional acts of vandalism, including by employees, causing potential disruptions that could result in lengthy interruptions in our service. We have experienced and will likely continue to experience system failures and other events or conditions from time to time that interrupt the availability or reduce or affect the speed or functionality of our products and solutions. Minor interruptions can result in new customer acquisition losses that are never recovered. Affected customers and/or passengers could seek monetary recourse from us for their losses and such claims, even if unsuccessful, would likely be time-consuming and costly for us to address. Further, in some instances, we may not be able to identify the cause or causes of these performance problems within an acceptable period of time. A prolonged interruption in the availability or reduction in the availability, speed or other functionality of our products and solutions could adversely affect our business, brand, and reputation and could result in fewer new customers and/or passengers using our products and solutions.</w:t>
      </w:r>
    </w:p>
    <w:p>
      <w:pPr>
        <w:spacing w:after="0" w:line="193"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We can provide no assurance that our current information systems or those of third-party providers are fully protected against third party intrusions, viruses, hacker attacks, information or data theft or other similar threats, and any such cyber-attack that bypasses our or a third-party provider’s information security systems causing a security breach may lead to a material disruption of our business systems or the loss of business information. For example, we engage with local third-party providers across various markets. Any user or non-user data collected in these jurisdictions is stored and maintained locally within the respective service provider’s facilities, in compliance with applicable local laws and regulations. We do not control the cloud services provided by the third-party providers, and there is a risk that such services may not be reliable. If the third-party providers violate the service agreements with us or relevant regulations, we may incur additional costs and time to supervise their work, and we may be held responsible for their misconduct and face claims from users. Any such event could have a material adverse effect on our business unless and until we recover using our back-up information. Such disruptions could result in negative publicity, loss of or delay in market acceptance of our products and solutions, loss of competitive position, lower customer retention or claims by customers and/or passengers for losses sustained by them or loss, destruction or unauthorized use of, or access to, data (including personal information for which we may incur liability under applicable data protection laws). In such an event, we may need to expend additional resources to bring the incident to an end, mitigate the liability associated with the fallout of such incident, make notifications to regulators and individuals affected, replace damaged systems or assets, defend ourselves in legal proceedings and compensate customers or passengers. In addition, our disaster recovery planning may not be sufficient for all eventualities. As a result, our reputation and our brand could be harmed, and our business, results of operations and financial condition may be adversely affected.</w:t>
      </w:r>
    </w:p>
    <w:p>
      <w:pPr>
        <w:spacing w:after="0" w:line="193"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Finally, as our services incorporate highly technical and complex technologies, such technologies and software may, now or in the future, contain undetected errors, bugs or vulnerabilities, some of which may only be discovered after the code has been released. Any error, bug or vulnerability in our products or solutions, systems or control failures, cybersecurity incidents, data security breaches or attacks on or compromise of our security or the security of our business partners could result in the loss, theft or inaccessibility of, unauthorized access to, or improper use or disclosure of, our customers’, passengers’ or employees’ information and could result in governmental or regulatory action, including resulting in fines or penalties, litigation, and financial and legal exposure, which could seriously harm our reputation, brand and business, and impair its ability to attract and retain users and customers. See “Item 3. Key Information—3.D. Risk Factors—Risks Related to Our Business and Industry—Any unauthorized access, collection, control, manipulation, interruption, compromise or improper disclosure of personal information, cyber-attacks or other security incidents or data breaches that affect our networks or systems, or those of our service providers or our customers and/or passengers, whether inadvertent or purposeful, could degrade our ability to conduct our business, compromise the integrity of our products and services or our platform and data, result in significant data losses or the theft of our intellectual property, damage our reputation, expose us to liability to third parties and require us to incur significant additional costs to maintain the security of our networks and data, in any case of the foregoing, which could adversely affect our business, financial condition and results of operations.”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Complying with evolving laws and regulations across multiple jurisdictions regarding cybersecurity, information security, privacy and data protection and other related laws and requirements may be expensive and force us to make adverse changes to our business. Many of these laws and regulations are subject to changes and uncertain interpretations, including in ways that may result in conflicting requirements among various jurisdictions. Any failure or perceived failure to comply with these laws and regulations could result in negative publicity, legal and regulatory proceedings, suspension or disruption of operations, fines, increased cost of operations, remediation costs, indemnification expenditures or otherwise harm our business.</w:t>
      </w:r>
    </w:p>
    <w:p>
      <w:pPr>
        <w:spacing w:after="0" w:line="186"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Because our solutions, products, and services may provide us with access to sensitive, confidential or personal information, we are subject to laws and regulations relating to the security and privacy of such information, including restrictions on the collection, use, storage and other processing of personal information as well as requirements to take steps to protect such information from improper disclosure, theft or tampering.</w:t>
      </w:r>
    </w:p>
    <w:p>
      <w:pPr>
        <w:spacing w:after="0" w:line="180"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Despite our efforts to comply with such applicable laws, regulations and other obligations relating to privacy, data protection and information security, it is possible that our interpretations of the law, our practices or our platform could be inconsistent with, or fail or be alleged to fail to meet all requirements of, such laws, regulations or obligations, including the risks and challenges of (i) protecting the data collected, stored and processed on our technology systems, including against attacks on our system by outside parties or fraudulent behavior or improper use by our employees; (ii) addressing concerns related to privacy and sharing, safety, security and other factors, including properly sanitizing personal data collected; and (iii) complying with applicable laws, rules and regulations relating to the collection, use, storage, transfer, disclosure and security of personal information and other data. For instance, we cannot guarantee that the anonymization measures we have implemented will fully comply with all applicable regulatory requirements. Any such failure to comply with the increasing number of data protection laws in the jurisdictions in which we operate, as well as concerns about our practices with regard to the collection, use, storage, retention, transfer, disclosure, security and other processing of personal information, biometric information or other privacy-related matters, including concerns from our customers and/or passengers, employees and third parties with whom we conduct business, even if unfounded, could result in fines, investigations or proceedings by governmental agencies and private claims and litigation (including class actions), any of which could adversely affect our business, financial condition and operating results. Even if not subject to legal challenge, the perception of privacy concerns, whether or not valid, could damage or harm our reputation and brand or could require that we make changes to or restrict our processing activities which may cause us to incur significant costs and expenses, each of which could materially and adversely affect our business, financial condition and operating results.</w:t>
      </w:r>
    </w:p>
    <w:p>
      <w:pPr>
        <w:spacing w:after="0" w:line="193"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Additionally, as we seek to expand our business, we are, and may increasingly become, subject to various laws, regulations and standards, as well as contractual obligations, relating to data privacy and security in the jurisdictions in which we operate. The regulatory and legal frameworks regarding data privacy and security issues in many jurisdictions are constantly evolving and developing and can be subject to significant changes from time to time, including in ways that may result in conflicting requirements among various jurisdictions. Interpretation and implementation standards and enforcement practices are similarly in a state of flux and are likely to remain uncertain for the foreseeable future. As a result, we may not be able to comprehensively assess the scope and extent of our compliance responsibility at a global level, and may fail to fully comply with applicable data privacy and security laws, regulations and standards. Moreover, these laws, regulations and standards may be interpreted and applied differently over time and from jurisdiction to jurisdiction, and it is possible that they will be interpreted and applied in ways that may be inconsistent with our existing practices and in ways that may have a material and adverse impact on our business, financial condition and results of operations.</w:t>
      </w:r>
    </w:p>
    <w:p>
      <w:pPr>
        <w:spacing w:after="0" w:line="194"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With regard to our commercial arrangements, we and our counterparties, including business partners and external service providers, might be subject to contractual obligations regarding the processing of personal information. While we believe our and our counterparties’ conduct under these agreements is in material compliance with all applicable laws, regulations, standards, certifications and orders relating to data privacy or security, we or our counterparties may fail, or be alleged to have failed, to be in full compliance. In the event that our acts or omissions result in alleged or actual failure to comply with applicable laws, regulations, standards, certifications and orders relating to data privacy or security, we may incur liability. While we endeavor to include indemnification provisions or other protections in such agreements to mitigate liability and losses stemming from our counterparties’ acts or omissions, we may not always be able to negotiate for such protections and, even where we can, there is no guarantee that our counterparties will honor such provisions or that such protections will cover the full scope of our liabilities and losses.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In general, negative publicity of us or our industry regarding any actual or perceived failure, by us, or by our third-party partners, to maintain the security of our user data or to comply with these existing or new privacy or data security laws, regulations, policies, contractual provisions, industry standards, and other requirements, may result in civil or regulatory liability, including governmental or data protection authority enforcement actions and investigations, fines, penalties, enforcement orders requiring us to cease operating in a certain way, litigation, or adverse publicity, and may require us to expend significant resources in responding to and defending against allegations and claims. In addition, users’ consciousness and attitudes towards data privacy are evolving, and users’ concerns over the extent to which their data is collected by us may adversely affect our ability to gain access to data and improve our technologies, products and services. Moreover, claims or allegations that we have failed to adequately protect our users’ data, or otherwise violated applicable privacy and data security laws, regulations, policies, contractual provisions, industry standards, or other requirements, may result in damage to our reputation and a loss of confidence in us by our users or our partners, potentially causing us to lose users, other business partners and revenues, which could have a material adverse effect on our business, financial condition and results of operations and could cause the price of the ADSs to drop significantly.</w:t>
      </w:r>
    </w:p>
    <w:p>
      <w:pPr>
        <w:spacing w:after="0" w:line="190"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7"/>
          <w:szCs w:val="17"/>
          <w:color w:val="auto"/>
        </w:rPr>
        <w:t>As of the date of this annual report, we have not been subject to any material claims, investigations or legal proceedings settled, pending or threatened for any material noncompliance with or violations of applicable PRC laws and regulations with respect to privacy and personal information protection, and we have not received any cybersecurity- related warning or sanction from the PRC regulatory authorities, or any notice from relevant authorities requiring us to file for a cybersecurity review. We believe, to the best of our knowledge, our business operations do not violate any of the applicable PRC laws and regulations currently in force with respect to privacy and personal information protection in all material aspects except for the uncertainties as disclosed in this annual report. We have been and will continue taking reasonable measures to comply with such laws and regulations. However, since these laws and regulations in the PRC are relatively new, uncertainties still exist in relation to their interpretation and implementation. We cannot assure you that relevant regulatory authorities will not interpret or implement the laws or regulations in ways that negatively affect us. In addition, any change in these laws and regulations relating to privacy, data protection and information security and any enhanced governmental enforcement action of such laws and regulations could greatly increase our cost in providing our solutions and services, limit their use or adoption or require certain changes to be made to our operations. While we enhance our compliance with these new laws and regulations described above, we may be ordered to rectify and terminate any actions that are deemed illegal by the government authorities and become subject to, among others, suspension of services, fines, revocation of relevant business permits or business licenses, and other government penalties, which may materially and adversely affect our business, financial condition, and results of operations.</w:t>
      </w:r>
    </w:p>
    <w:p>
      <w:pPr>
        <w:spacing w:after="0" w:line="182"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In addition to government regulation, privacy advocates and industry groups have and may in the future propose self-regulatory standards, which may legally or contractually apply to us, or we may elect to comply with such standards. We expect that there will continue to be new proposed laws and regulations concerning cybersecurity, information security, privacy and data protection, and we cannot yet determine the impact such future laws, regulations and standards may have on our business. New laws, amendments to or re-interpretations of existing laws, regulations, standards and other obligations may require us to incur additional costs and restrict our business operations. Because the interpretation and application of laws, regulations, standards and other obligations relating to data privacy and security are still uncertain, it is possible that these laws, regulations, standards and other obligations may be interpreted and applied in a manner that is inconsistent with our data processing practices and policies or the features of our products and services. If so,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financial condition and results of operations. Furthermore, the developing requirements relating to clear and prominent privacy notices (including in the context of obtaining informed and specific consents to the collection and processing of personal information, where applicable) may potentially deter passengers from consenting to certain uses of their personal information.</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Regulations that apply to us in the PRC</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PRC Cybersecurity Law, which took effect in June 2017 and was last amended in October 2025 with such amendments effective in January 2026, created China’s first national-level data protection regime for “network operators,” which may include all organizations within the territory of the PRC that provide services over the internet or other information network. Specifically, the Cybersecurity Law provides that China adopts a multi-level protection scheme, under which network operators are required to perform obligations of security protection to ensure that the network is free from interference, disruption or unauthorized access, and prevent network data from being disclosed, stolen or tampered.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In addition, the PRC Data Security Law took effect on September 1, 2021. The Data Security Law establishes a tiered system for data protection in terms of their importance. Data categorized as “important data,” which will be determined by regulatory authorities in the form of catalogs, are required to be treated with higher level of protection. Specifically, the Data Security Law provides that processors processing “important data” are required to appoint a “data security officer” and a “management department” to take charge of data security. In addition, such processors are required to evaluate the risks of its data activities periodically and file assessment reports with relevant regulatory authorities.</w:t>
      </w:r>
    </w:p>
    <w:p>
      <w:pPr>
        <w:spacing w:after="0" w:line="18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Numerous regulations, guidelines and other measures have been or are expected to be adopted under the umbrella of, or in addition to, the Cybersecurity Law and Data Security Law. For example, Regulations on the Security Protection of Critical Information Infrastructure (the “</w:t>
      </w:r>
      <w:r>
        <w:rPr>
          <w:rFonts w:ascii="Times New Roman" w:cs="Times New Roman" w:eastAsia="Times New Roman" w:hAnsi="Times New Roman"/>
          <w:sz w:val="18"/>
          <w:szCs w:val="18"/>
          <w:b w:val="1"/>
          <w:bCs w:val="1"/>
          <w:color w:val="auto"/>
        </w:rPr>
        <w:t>CII Protection Regulations</w:t>
      </w:r>
      <w:r>
        <w:rPr>
          <w:rFonts w:ascii="Times New Roman" w:cs="Times New Roman" w:eastAsia="Times New Roman" w:hAnsi="Times New Roman"/>
          <w:sz w:val="18"/>
          <w:szCs w:val="18"/>
          <w:color w:val="auto"/>
        </w:rPr>
        <w:t>”) became effective on September 1, 2021. According to the CII Protection Regulations, critical information infrastructure (the “CII”) refers to any important network facilities or information systems of the important industries or fields such as public communication and information services, energy, transportation, water conservancy, finance, public services, e-government affairs and national defense science, as well as other important network facilities or information systems that may seriously endanger national security, people’s livelihood and public interest in the case of damage, function loss or data leakage. Regulators supervising specific industries are required to formulate detailed guidance to identify CII in the respective sectors, and a critical information infrastructure operator (the “</w:t>
      </w:r>
      <w:r>
        <w:rPr>
          <w:rFonts w:ascii="Times New Roman" w:cs="Times New Roman" w:eastAsia="Times New Roman" w:hAnsi="Times New Roman"/>
          <w:sz w:val="18"/>
          <w:szCs w:val="18"/>
          <w:b w:val="1"/>
          <w:bCs w:val="1"/>
          <w:color w:val="auto"/>
        </w:rPr>
        <w:t>CIIO</w:t>
      </w:r>
      <w:r>
        <w:rPr>
          <w:rFonts w:ascii="Times New Roman" w:cs="Times New Roman" w:eastAsia="Times New Roman" w:hAnsi="Times New Roman"/>
          <w:sz w:val="18"/>
          <w:szCs w:val="18"/>
          <w:color w:val="auto"/>
        </w:rPr>
        <w:t>”) must take the responsibility to protect the CII’s security by performing certain prescribed obligations. For example, CIIOs are required to conduct network security test and risk assessment at least once a year, timely rectify the issues identified and report to relevant regulatory authorities according to their requirements. As of the date of this annual report, we have not received any notices from any authorities identifying us or any of our PRC entities as a CIIO.</w:t>
      </w:r>
    </w:p>
    <w:p>
      <w:pPr>
        <w:spacing w:after="0" w:line="19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Personal Information Protection Law took effect on November 1, 2021, integrates the various rules with respect to personal information rights and privacy protection and applies to the processing of personal information within the PRC as well as certain personal information processing activities outside the PRC, including those for the provision of products and services to natural persons within the PRC or for the analysis and assessment of acts of natural persons within the PRC. Specifically, Article 38 of the Personal Information Protection Law describes that any personal information processor which needs to provide personal information outside the PRC territory due to business or other needs shall meet any of the following conditions: (i) to pass the security evaluation organized by the CAC, (ii) to be certified by a specialized agency for protection of personal information in accordance with the provisions of the CAC,</w:t>
      </w:r>
    </w:p>
    <w:p>
      <w:pPr>
        <w:spacing w:after="0" w:line="3" w:lineRule="exact"/>
        <w:rPr>
          <w:sz w:val="20"/>
          <w:szCs w:val="20"/>
          <w:color w:val="auto"/>
        </w:rPr>
      </w:pPr>
    </w:p>
    <w:p>
      <w:pPr>
        <w:ind w:firstLine="8"/>
        <w:spacing w:after="0" w:line="250" w:lineRule="auto"/>
        <w:tabs>
          <w:tab w:leader="none" w:pos="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enter into a contract with the overseas recipient under the standard contract formulated by the CAC, specifying the rights and obligations of both parties; and (iv) to meet other conditions prescribed by laws, administrative regulations or the CAC. Based on this, the CAC and the relevant authorities have formulated the relevant detailed rules, among which the Measures for the Security Assessment of Data Cross-border Transfer taking effect on September 1, 2022 describes that a data processor providing data abroad under any of the following circumstances shall declare security assessment for data cross-border transferring to the CAC: (i) where a data processor provides important data abroad; (ii) where a CIIO or a data processor processing the personal information of more than one million people provides personal information abroad; (iii) where a data processor has provided personal information of 100,000 people or sensitive personal information of 10,000 people in total abroad since January 1 of the previous year; and (iv) other circumstance prescribed by the CAC. If a data processor has activities of transferring personal information abroad but does not reach the data scale threshold mentioned in the above articles, it could choose to be certified by a specialized agency or to enter into a contract with the overseas recipient under the standard contract formulated by the CAC. On March 22, 2024, the CAC promulgated the Provisions on Promoting and Regulating Cross-border Data Flows (the “</w:t>
      </w:r>
      <w:r>
        <w:rPr>
          <w:rFonts w:ascii="Times New Roman" w:cs="Times New Roman" w:eastAsia="Times New Roman" w:hAnsi="Times New Roman"/>
          <w:sz w:val="18"/>
          <w:szCs w:val="18"/>
          <w:b w:val="1"/>
          <w:bCs w:val="1"/>
          <w:color w:val="auto"/>
        </w:rPr>
        <w:t>New Provisions on Cross-border Data Flows</w:t>
      </w:r>
      <w:r>
        <w:rPr>
          <w:rFonts w:ascii="Times New Roman" w:cs="Times New Roman" w:eastAsia="Times New Roman" w:hAnsi="Times New Roman"/>
          <w:sz w:val="18"/>
          <w:szCs w:val="18"/>
          <w:color w:val="auto"/>
        </w:rPr>
        <w:t>”), effective on the date of promulgation. The provisions provide several exemptions and revise the above thresholds for undergoing security assessments, and state that if there is any conflict with the Measures for the Security Assessment of Data Cross-border Transfer and the Measures for the Standard Contract for Cross-border Transfer of Personal Information, the New Provisions on Cross-border Data Flows shall prevail. As of the date of this annual report, we have not conducted any cross-border transferring activities involving the personal information or important data we hold. However, we cannot assure you that the PRC regulatory authorities will not take a view contrary to ours, thus requiring us to comply with applicable data localization, security assessment and other requirements under these laws and regulations. As our business continues to grow, there may arise circumstances where we engage in such cross-border transfers of personal information and important data, including in order to satisfy the legal and regulatory requirements, in which case we may need to comply with the foregoing requirements as well as any other limitations under PRC laws then applicable. Complying with these laws and requirements could cause us to incur substantial expenses or require us to alter or change our practices in ways that could harm our business. Additionally, to the extent we are found to be not in compliance with these laws and requirements, we may be subject to fines, regulatory orders to suspend our operations or other regulatory and disciplinary sanctions, which could materially and adversely affect our business, financial condition and results of operations.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Additionally, in December 2021, the CAC and several other administrations jointly promulgated Cybersecurity Review Measures, which took effect on February 15, 2022. Pursuant to the Cybersecurity Review Measures, where the relevant activity affects or may affect national security, a CIIO that purchases network products and services, or an internet platform operator that carries out data processing activities, shall be subject to the cybersecurity review. The Cybersecurity Review Measures further provides that “internet platform operators” in possession of personal information of over one million users shall apply for cybersecurity review, if such operators intend to list their securities in a foreign country. See “Item 3. Key Information—3.D. Risk Factors—Risks Related to Doing Business in China—The approval, filing or other requirements of the CSRC or other PRC regulatory authorities may be required under PRC law in connection with our future issuance of securities overseas, and we cannot predict whether or for how long we will be able to obtain such approval or complete such filing.” Additionally, relevant regulatory authorities in the PRC may initiate cybersecurity review if they determine that network products or services or data processing activities affect or may affect national security. As the definitions for terms such as CIIO, internet platform operator and national security are broad, and the government will likely retain significant discretion as to the interpretation and enforcement of the Cybersecurity Review Measures and any implementation rules, we may be subject to related rules. We cannot preclude the possibility that the Cybersecurity Review Measures will subject us to the cybersecurity review by the CAC in relation to our operations or require us to adjust our business practices, in which case our business, financial condition and prospects and the price of the ADSs may be materially and negatively affected.</w:t>
      </w:r>
    </w:p>
    <w:p>
      <w:pPr>
        <w:spacing w:after="0" w:line="19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the event that we are subject to the cybersecurity review by the CAC in relation to our operations, we may experience disruptions of our business. Such review could also result in negative publicity with respect to our company and diversion of our managerial and financial resources. Furthermore, if we were found to be in violation of applicable laws and regulations of mainland China during such review, we may be subject to administrative penalties, including fines and service suspension, which could have a material and adverse impact on our business, results of operations and financial condition and the value of the ADSs. We also cannot rule out the possibility that certain of our customers may be deemed CIIOs, in which case our products or services, if deemed related to national security, will be submitted for cybersecurity review before we can enter into agreements with such customers. If the reviewing authority considers that the use of our products and services by certain of our customers who are CIIOs involves risks of disruption, is vulnerable to external attacks, or may negatively affect, compromise, or weaken the protection of national security, we may not be able to provide our products or services to such customers, which could have a material adverse effect on our results of operations and business prospects.</w:t>
      </w:r>
    </w:p>
    <w:p>
      <w:pPr>
        <w:spacing w:after="0" w:line="190" w:lineRule="exact"/>
        <w:rPr>
          <w:sz w:val="20"/>
          <w:szCs w:val="20"/>
          <w:color w:val="auto"/>
        </w:rPr>
      </w:pPr>
    </w:p>
    <w:p>
      <w:pPr>
        <w:ind w:right="120" w:firstLine="324"/>
        <w:spacing w:after="0" w:line="275" w:lineRule="auto"/>
        <w:rPr>
          <w:sz w:val="20"/>
          <w:szCs w:val="20"/>
          <w:color w:val="auto"/>
        </w:rPr>
      </w:pPr>
      <w:r>
        <w:rPr>
          <w:rFonts w:ascii="Times New Roman" w:cs="Times New Roman" w:eastAsia="Times New Roman" w:hAnsi="Times New Roman"/>
          <w:sz w:val="17"/>
          <w:szCs w:val="17"/>
          <w:color w:val="auto"/>
        </w:rPr>
        <w:t>Furthermore, the Regulation on Network Data Security Management (the “</w:t>
      </w:r>
      <w:r>
        <w:rPr>
          <w:rFonts w:ascii="Times New Roman" w:cs="Times New Roman" w:eastAsia="Times New Roman" w:hAnsi="Times New Roman"/>
          <w:sz w:val="17"/>
          <w:szCs w:val="17"/>
          <w:b w:val="1"/>
          <w:bCs w:val="1"/>
          <w:color w:val="auto"/>
        </w:rPr>
        <w:t>Network Data Regulation</w:t>
      </w:r>
      <w:r>
        <w:rPr>
          <w:rFonts w:ascii="Times New Roman" w:cs="Times New Roman" w:eastAsia="Times New Roman" w:hAnsi="Times New Roman"/>
          <w:sz w:val="17"/>
          <w:szCs w:val="17"/>
          <w:color w:val="auto"/>
        </w:rPr>
        <w:t>”) was promulgated by the State Council on September 24, 2024, and became effective as of January 1, 2025. The Network Data Regulation restates and further specifies the legal requirements for personal information, important data, cross-border data transfer, network platform services, and data security. Among others, if the network data processing activities have or may have impacts on national security, such activities shall be subject to national security review in accordance with relevant laws and regulations. Any failure to comply with such requirements may subject us to, among others, suspension of services, fines, revocation of relevant business permits or business licenses and penalties.</w:t>
      </w:r>
    </w:p>
    <w:p>
      <w:pPr>
        <w:spacing w:after="0" w:line="172" w:lineRule="exact"/>
        <w:rPr>
          <w:sz w:val="20"/>
          <w:szCs w:val="20"/>
          <w:color w:val="auto"/>
        </w:rPr>
      </w:pPr>
    </w:p>
    <w:p>
      <w:pPr>
        <w:ind w:right="120" w:firstLine="324"/>
        <w:spacing w:after="0" w:line="277" w:lineRule="auto"/>
        <w:rPr>
          <w:sz w:val="20"/>
          <w:szCs w:val="20"/>
          <w:color w:val="auto"/>
        </w:rPr>
      </w:pPr>
      <w:r>
        <w:rPr>
          <w:rFonts w:ascii="Times New Roman" w:cs="Times New Roman" w:eastAsia="Times New Roman" w:hAnsi="Times New Roman"/>
          <w:sz w:val="17"/>
          <w:szCs w:val="17"/>
          <w:color w:val="auto"/>
        </w:rPr>
        <w:t>On February 12, 2025, the CAC promulgated the Administrative Measures for the Compliance Audit of Personal Information Protection (the “</w:t>
      </w:r>
      <w:r>
        <w:rPr>
          <w:rFonts w:ascii="Times New Roman" w:cs="Times New Roman" w:eastAsia="Times New Roman" w:hAnsi="Times New Roman"/>
          <w:sz w:val="17"/>
          <w:szCs w:val="17"/>
          <w:b w:val="1"/>
          <w:bCs w:val="1"/>
          <w:color w:val="auto"/>
        </w:rPr>
        <w:t>Measures for Compliance Audit</w:t>
      </w:r>
      <w:r>
        <w:rPr>
          <w:rFonts w:ascii="Times New Roman" w:cs="Times New Roman" w:eastAsia="Times New Roman" w:hAnsi="Times New Roman"/>
          <w:sz w:val="17"/>
          <w:szCs w:val="17"/>
          <w:color w:val="auto"/>
        </w:rPr>
        <w:t>”), which will become effective as of May 1, 2025. The Measures for Compliance Audit provide detailed provisions on the scope of compliance audit activities, implementation procedures, selection of audit institutions, audit frequency, and obligations of personal information processors and professional institutions during compliance audits. If we fail to comply with these requirements, we may be subject to penalties under laws and regulations such as the Network Data Regulation.</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Several Provisions on the Administration of Automotive Data Security Management (for Trial Implementation)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Provisions on Automotive Data Security</w:t>
      </w:r>
      <w:r>
        <w:rPr>
          <w:rFonts w:ascii="Times New Roman" w:cs="Times New Roman" w:eastAsia="Times New Roman" w:hAnsi="Times New Roman"/>
          <w:sz w:val="18"/>
          <w:szCs w:val="18"/>
          <w:color w:val="auto"/>
        </w:rPr>
        <w:t>”) which became effective on October 1, 2021, elaborate the principles of and requirements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automotive data operating activities within the PRC. Furthermore, the Provisions on Automotive Data Security also prescribe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implementation of classified protection of cybersecurity and the obligations of automotive data operators to inform, anonymize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obtain individuals’ consents. As technical standards may change from time to time, we cannot assure you that the anonymization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measures we have implemented will fully comply with all applicable regulatory requirements. Any non-compliance with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may subject us to fines and other legal or administrative sanctions.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As of the date of this annual report, we have not been subject to any material claims, investigations or legal proceedings settled, pending or threatened for any material noncompliance with or violations of applicable PRC laws and regulations with respect to privacy and personal information protection, and we have not received any cybersecurity-related warning or sanction from the PRC regulatory authorities, or any notice from relevant authorities requiring us to file for a cybersecurity review. We believe, to the best of our knowledge, our business operations do not violate any of the above PRC laws and regulations currently in force in all material aspects except for the uncertainties as disclosed in this annual report. We have been and will continue taking reasonable measures to comply with such laws and regulations; however, since these laws and regulations in the PRC are relatively new, uncertainties still exist in relation to their interpretation and implementation. We cannot assure you that relevant regulatory authorities will not interpret or implement the laws or regulations in ways that negatively affect us. In addition, any change in these laws and regulations relating to privacy, data protection and information security and any enhanced governmental enforcement action of such laws and regulations could greatly increase our cost in providing our solutions and services, limit their use or adoption or require certain changes to be made to our operations. If we fail to comply with these new laws and regulations described above, we may be ordered to rectify and terminate any actions that are deemed illegal by the government authorities and become subject to, among others, suspension of services, fines, revocation of relevant business permits or business licenses, and other government penalties, which may materially and adversely affect our business, financial condition, and results of operations.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Regulations that apply to us in the United States</w:t>
      </w:r>
    </w:p>
    <w:p>
      <w:pPr>
        <w:spacing w:after="0" w:line="22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the United States, various federal regulators, including governmental agencies like the Federal Trade Commission, and states and state regulators, including in California, have adopted, or are considering adopting, laws and regulations concerning personal information and data security that we will need to navigate as we consider expanding the scope of our United States operations. This patchwork of legislation and regulation has given, and will likely continue to give, rise to conflicting or differing legal and regulatory obligations with respect to personal privacy rights. For example, certain state laws may be more stringent or broader in scope, or offer greater individual rights, with respect to personal information than federal, international or other state laws, and such laws may differ from each other, all of which may complicate compliance efforts. One such comprehensive privacy law in the United States is the California Consumer Privacy Act, which has since been amended by the California Privacy Rights Act (the “CPRA”) that came into effect on January 1, 2023 (collectively, the “CCPA”). Among other things, the CCPA requires companies that process personal information of California residents to make detailed disclosures to consumers about such companies’ data collection, use and sharing practices, and gives California residents rights to access, correct and delete their personal information and to opt out of certain personal information sharing with and/or sales to, third parties. The CCPA provides for civil penalties for violations, as well as a private right of action for certain data breaches that result in the loss of personal information which is expected to increase the likelihood of, and risks associated with, data breach litigation.</w:t>
      </w:r>
    </w:p>
    <w:p>
      <w:pPr>
        <w:spacing w:after="0" w:line="19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As referenced above, following California’s passage of the CCPA, other states have followed suit in passing similar laws. For example, in recent years, regulators have introduced new state laws in Colorado, Virginia, Utah, Connecticut, Florida and Texas, which generally give the applicable state’s residents rights over the collection, use and disclosure of their personal information. These laws may lead other states or even the United States Congress to pass comparable legislation to which we may become subject. The effects of the CPRA, the CCPA and other similar statutes or federal laws, are significant, and once we expand our United States operations, may require us to modify our data processing practices and policies and incur substantial compliance-related costs and expenses that are likely to increase over time. Additionally, many laws and regulations relating to privacy and the collection, storing, sharing, use, disclosure, and protection of certain types of data are subject to varying degrees of enforcement and new and changing interpretations by courts and may require us to divert resources from other initiatives and projects to address these evolving compliance and operational requirements. These and other laws or regulations relating to privacy, data protection and information security, particularly any new or modified laws or regulations, or changes to the interpretation or enforcement of such laws or regulations, any of which may require enhanced protection of certain types of data or new obligations with regard to data retention, transfer, or disclosure, could greatly increase the cost of providing our services and require significant changes to our operations, which may have a material and adverse impact on our business, financial condition and results of operations.</w:t>
      </w:r>
    </w:p>
    <w:p>
      <w:pPr>
        <w:spacing w:after="0" w:line="19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Additionally, some members of the U.S. federal government, including certain members of Congress and the NHTSA, have recently focused on automotive cybersecurity issues and may in the future propose or implement regulations specific to automotive cybersecurity. Such regulations are also in effect, or expected to come into effect, in certain other international jurisdictions. These and other regulations could adversely affect the timing of our entry into other markets, and if such regulations and other future regulations are inconsistent with our approach to automotive cybersecurity, we would be required to modify our systems to comply with such regulations, which would impose additional costs and delays and could expose us to potential liability to the extent our automotive cybersecurity systems and practices are inconsistent with such regulations.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Regulations that apply to us in Europe</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General Data Protection Regulation (“GDPR”) applies to all of our activities conducted from an establishment in the European Economic Area (“EEA”) or related to products and services that we offer to EEA users or customers, or the monitoring of their behavior in the EEA. The GDPR creates a range of restrictions and compliance obligations, including those concerning the consent and rights of individuals to whom the personal data relates, the transfer of personal data out of the EEA, security breach notifications and the security and confidentiality of personal data. Ensuring compliance with the GDPR is an ongoing commitment that involves substantial costs. Although we are working closely with the Luxembourg Data Protection Authority (the CNPD) as part of a “sandbox project” designed to work through the challenges of implementing an autonomous vehicle system in a manner that is compliant with the GDPR, governmental authorities or others may assert that our business practices fail to comply with all its requirements. If our operations are found to violate GDPR requirements, we may incur substantial fines, have to change our business practices, and face reputational harm, any of which could have an adverse effect on our business. In particular, serious breaches of the GDPR can result in administrative fines of up to 4% of annual worldwide revenues. Fines of up to 2% of annual worldwide revenues can be levied for other specified violations. Additionally, EEA member states may impose additional domestic obligations.</w:t>
      </w:r>
    </w:p>
    <w:p>
      <w:pPr>
        <w:spacing w:after="0" w:line="19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Furthermore, in Europe, the Artificial Intelligence Act (“EU AI Act”), which entered into force on August 1, 2024, is designed to ensure the safe and ethical deployment of AI. The EU AI Act categorizes artificial intelligence (“AI”) systems based on their level of risk, prohibiting certain uses of AI (which provisions applied as of February 2, 2025), and introduces strict requirements for high-risk AI applications (which provisions apply from August 2, 2027). It is intended to apply to companies that develop, use and/or provide AI in the EU and includes requirements around transparency, conformity assessments and monitoring, risk assessments, human oversight, security and accuracy and introduces significant fines for noncompliance.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In addition to government regulation, privacy advocates and industry groups have and may in the future propose self-regulatory standards, which may legally or contractually apply to us, or we may elect to comply with such standards. We expect that there will continue to be new proposed laws and regulations concerning cybersecurity, information security, privacy and data protection, and we cannot yet determine the impact such future laws, regulations and standards may have on our business. New laws, amendments to or re-interpretations of existing laws, regulations, standards and other obligations may require us to incur additional costs and restrict our business operations. Because the interpretation and application of laws, regulations, standards and other obligations relating to data privacy and security are still uncertain, it is possible that these laws, regulations, standards and other obligations may be interpreted and applied in a manner that is inconsistent with our data processing practices and policies or the features of our products and services. If so,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financial condition and results of operations. Furthermore, the developing requirements relating to clear and prominent privacy notices (including in the context of obtaining informed and specific consents to the collection and processing of personal information, where applicable) may potentially deter passengers from consenting to certain uses of their personal information.</w:t>
      </w:r>
    </w:p>
    <w:p>
      <w:pPr>
        <w:spacing w:after="0" w:line="192"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the experience and expertise of our senior management team, technical engineers, and certain other key employees, and the loss of any executive officer or key employee, or the inability to identify and recruit executive officers and other key employees in a timely manner, could harm our business, operating results, and financial condition.</w:t>
      </w:r>
    </w:p>
    <w:p>
      <w:pPr>
        <w:spacing w:after="0" w:line="134"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key executive officers and certain key employees. We rely on our executive officers and key employees in the areas of business strategy, research and development, marketing, sales, services, and general and administrative functions. From time to time, there may be changes in our executive management team or key employees resulting from the hiring or departure of executives or key employees, which could disrupt our business. We do not maintain key-man insurance for any member of our senior management team or any other employee.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key employees could have a serious adverse effect on our business.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To execute our growth plan, we must attract and retain highly qualified personnel. Competition for these personnel is intense in the technology industry, especially for engineers with high levels of experience in artificial intelligence and designing and developing autonomous driving related algorithms. We have experienced, and expect to continue to experience, difficulty in hiring and retaining employees with appropriate qualifications. Many of the companies with which we compete for experienced personnel have greater resources than we have and can offer more attractive compensation packages for new employees. If we hire employees from competitors or other companies, their former employers may attempt to assert that these employees or our company have breached their legal obligations, resulting in a diversion of our time and resources and potentially in litigation. In addition, job candidates and existing employees often consider the value of the share incentive awards they receive in connection with their employment. If the perceived value of our share awards declines, it may adversely affect our ability to recruit and retain highly skilled employees. If we fail to attract new personnel on a timely basis or fail to retain and motivate our current personnel, we may not be able to commercialize and then expand our autonomous driving solutions in a timely manner and our business and future growth prospects could be adversely affected.</w:t>
      </w:r>
    </w:p>
    <w:p>
      <w:pPr>
        <w:spacing w:after="0" w:line="188"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Misconduct or other improper activities, including non-compliance with regulatory standards and requirements, by our employees, consultants, independent contractors, suppliers and partners could expose us to potentially significant legal liabilities, reputational harm and/or other damages to our business.</w:t>
      </w:r>
    </w:p>
    <w:p>
      <w:pPr>
        <w:spacing w:after="0" w:line="17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Many of our employees play critical roles in the development of our technology and in ensuring the safety and reliability of our solutions and/or compliance with relevant laws and regulations. Certain of our employees have access to sensitive information and/or proprietary technologies and know-how. While we have adopted codes of conduct for all of our employees and have entered into agreements and implemented detailed policies and procedures relating to intellectual property, proprietary information and trade secrets, we cannot assure you that our employees will always comply with these codes, agreements, policies and procedures nor that the precautions we take to detect and prevent employee misconduct will always be effective. If any of our employees engage in any misconduct, illegal or suspicious activities, including but not limited to misappropriation or leakage of sensitive customer information, proprietary information or technology know-how, we and such employees could be subject to legal claims and liabilities and our reputation and business could be adversely affected.</w:t>
      </w:r>
    </w:p>
    <w:p>
      <w:pPr>
        <w:spacing w:after="0" w:line="18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and independent contractors who may be involved in the conception or development of intellectual property or proprietary information to execute agreements assigning such intellectual property or proprietary information to us, we may be unsuccessful in executing such an agreement with each party who, in fact, conceives or develops intellectual property or proprietary information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or proprietary information. Furthermore, individuals executing agreements with us may have preexisting or competing obligations to a third party and thus an agreement with us may be ineffective in perfecting ownership of inventions developed by that individual. If there is any potential uncertainty with respect to the enforceability of the invention assignment, an employee may sell or license their invention to third parties, which could limit our ability to operate our business and could adversely affect our competitive business position. We cannot provide any assurances that such individuals will not breach the agreements and disclose proprietary information, including our trade secrets, and we cannot guarantee that adequate remedies will be available to rectify any subsequent damages or losses of confidential and proprietary information. Enforcing a claim that a party unlawfully disclosed or misappropriated a trade secret is difficult, expensive, and time consuming, and the outcome is unpredictable. Some courts in the United States and abroad are less willing or unwilling to protect trade secrets. Such claims could have a material adverse effect on our business, financial condition, results of operations, and prospects.</w:t>
      </w:r>
    </w:p>
    <w:p>
      <w:pPr>
        <w:spacing w:after="0" w:line="196"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In addition, we may be required to pay monetary remuneration to employees who develop inventions, even if the rights to such inventions have been assigned to us and the employees have waived their rights to royalties or other compensation.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brand and reputation could be harmed by negative publicity or safety and others concerns regarding our solutions. Failure to maintain, protect and enhance our brand could limit our ability to expand or retain our customer base, which could materially and adversely affect our business, financial condition and results of operations.</w:t>
      </w:r>
    </w:p>
    <w:p>
      <w:pPr>
        <w:spacing w:after="0" w:line="9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must maintain and enhance our brand identity and increase market awareness of our autonomous driving technology and solutions. The successful promotion of our brand will depend on our efforts to achieve widespread acceptance of our technology and solutions, attract and retain customers and our ability to maintain our current market leadership and successfully differentiate our technology and solutions from competitors. These efforts require substantial expenditures, and we anticipate that they will increase as our market becomes more competitive and as we expand into new markets. These investments in brand promotion and thought leadership may not yield increased revenue. To the extent they do, the resulting revenue still may not be enough to offset the increased expenses we incur. Our brand value also depends on our ability to provide secure and trustworthy solutions as well as our ability to protect and use our customers’, partners’ and users’ data in a manner that meets their expectations. Damage to our reputation and loss of brand equity may reduce demand for our solutions and thus have an adverse effect on our future financial results, as well as require additional resources to rebuild our reputation and restore the value of the brands and could also reduce the trading price of the ADSs and our Class A ordinary shares.</w:t>
      </w:r>
    </w:p>
    <w:p>
      <w:pPr>
        <w:spacing w:after="0" w:line="124"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may, from time to time, receive negative publicity, including negative internet and blog postings, ratings or comments on social media platforms or through traditional media about our company, our business, our directors and management, our brands, our technology and solutions, our suppliers or other business partners. Certain of such negative publicity may be the result of malicious harassment or unfair competition acts by third parties. We may even be subject to government or regulatory investigation as a result of such third-party conduct and may be required to spend significant time and incur substantial costs to defend ourselves against such third-party conduct, and we may not be able to conclusively refute each of the allegations within a reasonable period of time, or at all.</w:t>
      </w:r>
    </w:p>
    <w:p>
      <w:pPr>
        <w:spacing w:after="0" w:line="120"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We may receive complaints from our customers and passengers regarding our solutions, pricing and customer support. If we do not handle these complaints effectively, our brand and reputation may suffer, our customers and passengers may lose confidence in us and they may reduce or cease their use of our solutions. Our success depends, in part, on our ability to generate positive customer feedback and minimize negative feedback on social media channels where existing and potential customers and passengers seek and share information. If actions we take or changes we make to our solutions upset these customers and passengers, their online commentary could negatively affect our brand and reputation. Complaints or negative publicity about us, our technology and solutions could materially and adversely impact our ability to attract and retain customers and passengers, our business, results of operations and financial condition.</w:t>
      </w:r>
    </w:p>
    <w:p>
      <w:pPr>
        <w:spacing w:after="0" w:line="107"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our international operations, including unfavorable regulatory, political, trade, tax and labor conditions, which could harm our business.</w:t>
      </w:r>
    </w:p>
    <w:p>
      <w:pPr>
        <w:spacing w:after="0" w:line="9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subject to legal and regulatory requirements, political uncertainty and social, environmental and economic conditions in a number of jurisdictions, over which we have little control and which are inherently unpredictable. Our operations in such jurisdictions create risks relating to conforming our solutions to regulatory and safety requirements; adapting to different driving behavior, traffic conditions, road designs and infrastructure in a range of countries; organizing local operating entities; establishing, staffing and managing foreign business locations; managing and staffing international operations and the increased operations, travel, and infrastructure costs; attracting local customers; effective pricing; navigating foreign government taxes, regulations and permit requirements; enforceability of our contractual rights; protectionist or national security policies; complexities of complying with current and future export controls and economic sanctions; trade restrictions, customs regulations and tariffs and price or exchange controls. Such conditions may increase our costs, impact our ability to attract and retain customers and require significant management attention, and may harm our business if we are unable to manage them effectively.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business development plans are not effective, our business development may be negatively affected.</w:t>
      </w:r>
    </w:p>
    <w:p>
      <w:pPr>
        <w:spacing w:after="0" w:line="14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have invested and anticipate to continue investing in sales and marketing activities to promote our brand and to deepen our relationships with partners, customers and passengers. Our sales and marketing activities may not be well received by our existing customers and passengers, and may not attract new ones as anticipated. The evolving marketing landscape may require us to experiment with new marketing methods to keep pace with industry trends and customers’ and passengers’ preferences. Failure to refine our existing marketing approaches or to introduce new marketing approaches in a cost-effective manner could reduce our market share. We also rely on a number of business partners and our own business development team to attract new customers and passengers. Any disruption of our relationship with these intermediaries could harm our abilities to promote business. Therefore, there is no assurance that we will be able to recover the costs of these sales and marketing activities or that these activities will be effective in attracting new customers and users and retaining existing ones.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inability to obtain or agree on acceptable terms and conditions for all or a significant portion of the government grants, loans, subsidies, tax treatment and other incentives for which we may apply could have a material adverse effect on our business, results of operations or financial condition.</w:t>
      </w:r>
    </w:p>
    <w:p>
      <w:pPr>
        <w:spacing w:after="0" w:line="17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enjoyed preferential tax treatment under relevant preferential tax policies historically. In particular, some of our PRC entities in Beijing, Guangzhou, Shenzhen, Shanghai and Jiangsu province had been recognized as the “High and New Tech Enterprise.” According to the tax incentives of the EIT Law for “High and New Tech Enterprise,” these companies are subject to a reduced EIT rate of 15% for three years commencing from the year these companies are recognized as “High and New Tech Enterprise.” Such preferential tax treatments are subject to change and termination. Government agencies may decide to reduce, eliminate or cancel our tax preferences at any time. Therefore, we cannot assure you of the continued availability of such tax preferences as we currently enjoy. The discontinuation, reduction or delay of the preferential tax treatment could adversely affect our financial condition and results of operations.</w:t>
      </w:r>
    </w:p>
    <w:p>
      <w:pPr>
        <w:spacing w:after="0" w:line="192"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also received government grants, which may not be recurring. For the years ended December 31, 2023, 2024 and 2025, US$7.1 million, US$6.5 million and US$</w:t>
      </w:r>
      <w:r>
        <w:rPr>
          <w:rFonts w:ascii="Times New Roman" w:cs="Times New Roman" w:eastAsia="Times New Roman" w:hAnsi="Times New Roman"/>
          <w:sz w:val="18"/>
          <w:szCs w:val="18"/>
          <w:color w:val="231F20"/>
        </w:rPr>
        <w:t>7.6</w:t>
      </w:r>
      <w:r>
        <w:rPr>
          <w:rFonts w:ascii="Times New Roman" w:cs="Times New Roman" w:eastAsia="Times New Roman" w:hAnsi="Times New Roman"/>
          <w:sz w:val="18"/>
          <w:szCs w:val="18"/>
          <w:color w:val="auto"/>
        </w:rPr>
        <w:t xml:space="preserve"> million were received and recognized as other income, net in the consolidated statements of operations and comprehensive loss, respectively. These government grants historically received were awarded by local governments in China in Renminbi, primarily in recognition of our contributions to technological advancement and local economic development. These grants are typically evaluated on an annual or project basis, based on prevailing local regulations and policies, and are thus non-recurring in nature. Consequently, there is no guarantee that we will continue receiving or benefiting from them in the future and it is also challenging for us to predict the amounts of future grants. In some cases, we are required to satisfy certain conditions or contractual obligations before receiving government grants. However, there can be no assurance that we will be able to fully satisfy these conditions or perform such obligations, and it is possible that regulatory authorities may discontinue such grants, or require us to repay part or all of the government grants we previously received. Any reduction, cancellation, or repayment resulting from our failure to perform such obligations could adversely affect our business, financial condition and results of operations.</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granted and may continue to grant share-based awards under our share incentive plan, which may result in increased share-based compensation expenses.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adopted a share option scheme in November 2016 (the “2016 Share Plan,” as amended in 2019 and 2020). We account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costs for all share-based awards using a fair-value based method and recognize expenses in our consolidated statements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and comprehensive loss in accordance with U.S. GAAP. The maximum aggregate number of shares that we are authorized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pursuant to the 2016 Share Plan (as amended) is 58,427,257. As of December 31, 2025, a total of 1,621,005 share options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8,159,605 restricted share units had been granted and are outstanding under such plan. Upon the completion of our initial public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2024, we immediately recognized share-based compensation expenses of US$120.7 million with respect to the options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share units vested cumulatively. For the years ended December 31, 2023, 2024 and 2025, we recorded US$3.8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US$127.0 million and US$</w:t>
      </w:r>
      <w:r>
        <w:rPr>
          <w:rFonts w:ascii="Times New Roman" w:cs="Times New Roman" w:eastAsia="Times New Roman" w:hAnsi="Times New Roman"/>
          <w:sz w:val="18"/>
          <w:szCs w:val="18"/>
          <w:color w:val="231F20"/>
        </w:rPr>
        <w:t>30.8</w:t>
      </w:r>
      <w:r>
        <w:rPr>
          <w:rFonts w:ascii="Times New Roman" w:cs="Times New Roman" w:eastAsia="Times New Roman" w:hAnsi="Times New Roman"/>
          <w:sz w:val="18"/>
          <w:szCs w:val="18"/>
          <w:color w:val="auto"/>
        </w:rPr>
        <w:t xml:space="preserve"> million in share-based compensation expenses, respectively. Total unrecognized shared-based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to these unvested options and restricted share units are nil and US$</w:t>
      </w:r>
      <w:r>
        <w:rPr>
          <w:rFonts w:ascii="Times New Roman" w:cs="Times New Roman" w:eastAsia="Times New Roman" w:hAnsi="Times New Roman"/>
          <w:sz w:val="18"/>
          <w:szCs w:val="18"/>
          <w:color w:val="231F20"/>
        </w:rPr>
        <w:t>67.9</w:t>
      </w:r>
      <w:r>
        <w:rPr>
          <w:rFonts w:ascii="Times New Roman" w:cs="Times New Roman" w:eastAsia="Times New Roman" w:hAnsi="Times New Roman"/>
          <w:sz w:val="18"/>
          <w:szCs w:val="18"/>
          <w:color w:val="auto"/>
        </w:rPr>
        <w:t xml:space="preserve"> million, respectively, as of December 31, 2025. On April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2026, we adopted a new employee equity incentive scheme (the “2026 Share Scheme”). For more information on our share incentive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plans, see “Item 6. Directors, Senior Management and Employees—6.B Compensation—Equity Incentive Plan.”</w:t>
      </w:r>
    </w:p>
    <w:p>
      <w:pPr>
        <w:spacing w:after="0" w:line="20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will incur additional share-based compensation expenses in the future, as we continue to grant share-based incentives. We believe the granting of share-based compensation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risks in connection with the fair value change of our long-term and short-term investments and related valuation uncertainty.</w:t>
      </w:r>
    </w:p>
    <w:p>
      <w:pPr>
        <w:spacing w:after="0" w:line="15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Fluctuation of the fair value of our long-term and short-term investments may affect our results of operation. Our long-term investments consist primarily of our investments in marketable debt securities, debt investment in investee’s preferred shares, term deposits and certificate of deposits, and equity investments in certain private companies and convertible bonds. Our short-term investments represent purchased short-term investments by the Company from financial institutions for idle funds management purpose, including term deposits and marketable debt securities. As of December 31, 2023, 2024 and 2025, our long-term investments amounted to US$51.7 million, US$130.8 million and US$454.9 million, respectively, and our short-term investments amounted to US$163.6 million, US$209.0 million and US$872.2 million, respectively.</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are exposed to credit risk in relation to our short-term investments and liquidity risk in relation certain investments, which may adversely affect the net changes in their fair value. Factors beyond our control can significantly influence and cause adverse changes to the estimates and thereby affect the fair value. These factors include, but are not limited to, general economic conditions, market conditions and regulatory environment. The fair value of financial instruments that are not traded in an active market is determined by using valuation techniques. These valuation techniques maximize the use of observable market data where it is available and rely as little as possible on entity specific estimates. The valuations of our investments require the use of certain judgments and estimates and any change in the estimates and assumptions may lead to a change in the fair value of our investments, which in turn could negatively affect our financial condition and results of operations.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certain risks relating to our leased properties.</w:t>
      </w:r>
    </w:p>
    <w:p>
      <w:pPr>
        <w:spacing w:after="0" w:line="135"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 xml:space="preserve">Under PRC law, lease agreements of commodity housing tenancy are required to be registered with the local construction (real estate) departments. As of December 31, 2025, </w:t>
      </w:r>
      <w:r>
        <w:rPr>
          <w:rFonts w:ascii="Times New Roman" w:cs="Times New Roman" w:eastAsia="Times New Roman" w:hAnsi="Times New Roman"/>
          <w:sz w:val="18"/>
          <w:szCs w:val="18"/>
          <w:color w:val="231F20"/>
        </w:rPr>
        <w:t>nine</w:t>
      </w:r>
      <w:r>
        <w:rPr>
          <w:rFonts w:ascii="Times New Roman" w:cs="Times New Roman" w:eastAsia="Times New Roman" w:hAnsi="Times New Roman"/>
          <w:sz w:val="18"/>
          <w:szCs w:val="18"/>
          <w:color w:val="auto"/>
        </w:rPr>
        <w:t xml:space="preserve"> of our lease agreements for our leased properties in China had not been registered with the relevant PRC regulatory authorities.</w:t>
      </w:r>
    </w:p>
    <w:p>
      <w:pPr>
        <w:spacing w:after="0" w:line="9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Failure to complete the registration and filing of lease agreements will not affect the validity of the lease agreements. However, in case the parties of the lease agreements fail to rectify such non-compliance within the prescribed time frame after receiving notice from the relevant PRC regulatory authorities, they may be exposed to potential fines ranging from RMB1,000 to RMB10,000 for each unregistered lease, at the discretion of the relevant authority. Besides, the decoration projects of some of our leased properties used as vehicle modification facilities and business offices may require regulatory approvals for construction and fire protection filings under the PRC law but we failed to obtain such approvals and filings, which may subject us to legal sanctions, such as imposition of fines, suspension of construction, and rectification within a time limit. As of the date of this annual report, no material penalty has been imposed on us for the failure to register the relevant lease agreements as well as obtain the regulatory approval for decoration projects.</w:t>
      </w:r>
    </w:p>
    <w:p>
      <w:pPr>
        <w:spacing w:after="0" w:line="9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If we receive notice from the relevant PRC government authorities requiring us to complete the registration with prescribed time frame and we fail to do so, the maximum aggregate amount of potential administrative penalties we would be subject to is RMB120,000. As of the date of this annual report, we have not been subject to any administrative penalties imposed by the relevant competent authorities in respect of lease registrations, nor have we received any rectification notice from the relevant PRC government authorities regarding the lease registrations.</w:t>
      </w:r>
    </w:p>
    <w:p>
      <w:pPr>
        <w:spacing w:after="0" w:line="8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231F20"/>
        </w:rPr>
        <w:t>In addition, any defects in lessors’ title to our leased properties may negatively impact our use. As of December 31, 2025, for three leased properties mainly used for the research, testing and maintenance of autonomous vehicles with an aggregate floor area of approximately 27,512 square meters, the lessors had not provided us with documentation evidencing their title to the relevant leased properties. Additionally, as of December 31, 2025, two leased properties mainly used for office and research and development with an aggregate floor area of approximately 3,500 square meters were mortgaged by the owners before we entered into the lease agreements, and our leases with respect to these properties may not prevail against the pre-registered mortgage right.</w:t>
      </w:r>
    </w:p>
    <w:p>
      <w:pPr>
        <w:spacing w:after="0" w:line="10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we are not aware of any challenges initiated by third parties against our use of these properties. However, we cannot assure you that title to these leased properties will not be challenged in the future. If third parties who purport to be the property owners or beneficiaries of the mortgaged properties, or if the regulatory authorities challenge our right to use the leased properties, we may not be able to protect our leasehold interest and may be ordered to vacate the affected premises, which could in turn adversely affect our business and results of operations.</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our directors, management, employees and shareholders and their affiliates may be subject to pending or future litigation, impending decisions, administrative proceedings, fines and negative publicity, which could have a material and adverse impact on our business, reputation, financial condition and results of operations.</w:t>
      </w:r>
    </w:p>
    <w:p>
      <w:pPr>
        <w:spacing w:after="0" w:line="134"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From time to time, we have been, and may in the future be, subject to lawsuits brought on by our competitors, individuals, or other entities against us, in matters relating to intellectual property rights, contractual disputes, employment-related controversies, and other legal and administrative proceedings or fines relating to our business operations inside and outside China. At times, the outcomes of the actions we institute may not be successful or favorable to us. Lawsuits against us may also generate negative publicity that significantly harms our reputation, which may adversely affect our ability to expand the customer and user base. In addition to the related cost, managing and defending litigation and related indemnity obligations can significantly divert management’s attention from operating our business. We may also need to pay damages or settle lawsuits with a substantial amount of cash. If any of these happens, our business, financial condition, results of operations or liquidity could be materially and adversely affected. In addition, our directors, management, shareholders and employees and their affiliates may from time to time be subject to litigation, regulatory investigations, proceedings and/or negative publicity or otherwise face potential liability and expense in relation to commercial, labor, employment, securities or other matters, which could adversely affect our reputation and results of operations.</w:t>
      </w:r>
    </w:p>
    <w:p>
      <w:pPr>
        <w:spacing w:after="0" w:line="14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expansion into new geographical areas and jurisdictions involves inherent risks, which may adversely affect our business and results of operations.</w:t>
      </w:r>
    </w:p>
    <w:p>
      <w:pPr>
        <w:spacing w:after="0" w:line="132" w:lineRule="exact"/>
        <w:rPr>
          <w:sz w:val="20"/>
          <w:szCs w:val="20"/>
          <w:color w:val="auto"/>
        </w:rPr>
      </w:pPr>
    </w:p>
    <w:p>
      <w:pPr>
        <w:ind w:right="120" w:firstLine="324"/>
        <w:spacing w:after="0" w:line="272" w:lineRule="auto"/>
        <w:rPr>
          <w:sz w:val="20"/>
          <w:szCs w:val="20"/>
          <w:color w:val="auto"/>
        </w:rPr>
      </w:pPr>
      <w:r>
        <w:rPr>
          <w:rFonts w:ascii="Times New Roman" w:cs="Times New Roman" w:eastAsia="Times New Roman" w:hAnsi="Times New Roman"/>
          <w:sz w:val="17"/>
          <w:szCs w:val="17"/>
          <w:color w:val="auto"/>
        </w:rPr>
        <w:t>Our expansion into new geographical areas and jurisdictions involves new risks and challenges associated with such new markets, such as obtaining permit to conduct test driving and further, commercial operation, of our autonomous vehicles in these new geographical areas and jurisdictions. We may also need to adjust our pricing policies to adapt to local economic condition. Furthermore, our expansion into international markets will require us to respond timely and effectively to rapid changes in market conditions in the relevant countries and regions. Our success in international expansion partially depends on our ability to succeed in different legal, regulatory, economic, environmental, social, and political conditions which we have little control over. Our business operations in new geographical areas and jurisdictions may be disrupted by changes in local laws, regulations and policies. We cannot assure you that we will be able to execute on our business strategy or that our technology and service offerings will be successful in such markets.</w:t>
      </w:r>
    </w:p>
    <w:p>
      <w:pPr>
        <w:spacing w:after="0" w:line="127"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an effective system of internal control over financial reporting, we may be unable to accurately report our results of operations, meet our reporting obligations or prevent fraud, and investor confidence and the market price of the ADSs may be materially and adversely affected.</w:t>
      </w:r>
    </w:p>
    <w:p>
      <w:pPr>
        <w:spacing w:after="0" w:line="13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we are a public company in the United States, we are subject to the Sarbanes-Oxley Act of 2002. Section 404 of the Sarbanes-Oxley Act of 2002, or Section 404, requires that we include a report from management on our internal control over financial reporting in our annual report on Form 20-F beginning with our annual report for the fiscal year ending December 31, 2025. In addition, we have ceased to be an “emerging growth company” as such term is defined in the JOBS Act, and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 over financial reporting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6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we may identify other or more material weaknesses or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speaking,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the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consolidated financial statements for prior periods.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insurance coverage for our operations.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the autonomous driving industry is at its nascent stage and continues to evolve rapidly, changing laws, regulations and standards in the industry are making liability difficult to define, thus creating uncertainty for us, increasing legal and financial compliance costs. These laws, regulations and standards are subject to varying interpretations, in many cases due to their lack of specificity, and, as a result, their application in practice may evolve over time as new guidance is provided by regulatory and governing bodies. This could expose us to increasing liabilities, for which we may not have sufficient insurance coverage.</w:t>
      </w:r>
    </w:p>
    <w:p>
      <w:pPr>
        <w:spacing w:after="0" w:line="18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solutions are used for autonomous driving, which presents the risk of significant injury, including fatalities. We may be subject to claims if a vehicle using one of our solutions, products or services is involved in an accident and persons are injured or purport to be injured or if the property is damaged. Any insurance that we carry may not be sufficient or it may not apply to all situations. If we experience such an event or multiple events, our insurance premiums could increase significantly or insurance may not be available to us at all. Further, if insurance is not available on commercially reasonable terms, or at all, we might need to self-insure. In addition, lawmakers or governmental agencies could pass laws or adopt regulations that limit the use of autonomous driving technology or increase liability associated with its use. Any of these events could adversely affect our brand, relationships with users, operating results, or financial condition.</w:t>
      </w:r>
    </w:p>
    <w:p>
      <w:pPr>
        <w:spacing w:after="0" w:line="1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extreme weather conditions, health epidemics and other catastrophic incidents which could significantly disrupt our operations.</w:t>
      </w:r>
    </w:p>
    <w:p>
      <w:pPr>
        <w:spacing w:after="0" w:line="15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facilities or operations could be adversely affected by events outside of our control, such as natural disasters, wars, health epidemics and other calamities. We cannot assure you that any backup systems will be adequate to protect us from the effects of fire, floods, typhoons, earthquakes, power loss, telecommunications failures, break-ins, war, riots, terrorist attacks or similar events, and our property and business interruption insurance coverage may not be adequate to fully compensate us for any losses that may occur. Any of the foregoing events may give rise to interruptions, breakdowns, system failures, or internet failures, which could cause the loss or corruption of data or malfunctions of software or hardware as well as adversely affect our ability to provide services.</w:t>
      </w:r>
    </w:p>
    <w:p>
      <w:pPr>
        <w:spacing w:after="0" w:line="18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General business and economic conditions, and risks related to the larger automotive ecosystem, including consumer demand, could adversely affect the market for vehicles, which could reduce our revenue.</w:t>
      </w:r>
    </w:p>
    <w:p>
      <w:pPr>
        <w:spacing w:after="0" w:line="1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market for automotive industry in China is affected by general business and economic conditions, the global semi-conductor chip shortage, and inflationary pressures. Volatility caused by, among other events, the global semi-conductor chip shortage, and inflationary pressures has resulted in, or may result in, reduced demand for autonomous driving technology. The market opportunities we are pursuing are at an early stage of development, and it is difficult to predict user demand or adoption rates for our technology and service offerings, or the future growth of the markets in which we operate. In addition, global inflation, related to the disruptions in global demand, supply, geopolitical events, logistics and labor markets, has increased and may continue to exert pressure on our business and the broader automotive industry.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The demand for and adoption of our technology and service offerings are typically discretionary for our customers, and may continue to be, affected by negative trends in the economy and other factors, including the degree of utilization achieved by our autonomous driving technology, the timing and breadth of our technology’s operational areas, consumer spending and preferences, changes in interest rates and credit availability, consumer confidence, fuel costs, fuel availability, environmental impact, governmental incentives and regulatory requirements, and political volatility, especially in energy-producing countries and growth markets. Fears of recession, stock market volatility, inflationary pressures, inflation and regulations may decrease consumer demand, which could adversely affect the market for vehicles and in turn reduce our revenue. Furthermore, geopolitical conflicts, such as the conflict in Ukraine and the imposition of broad economic sanctions on Russia as well as the recent tensions in the Middle East, could raise energy prices and disrupt global markets, which could affect automotive ecosystem. In addition, automotive production and sales can be affected by our automotive OEMs’ ability to continue operating in response to challenging economic conditions, labor relations issues, regulatory requirements, trade agreements and other factors; in particular, trade tensions between China and the EU and China and the United States appear to have increased risk of higher tariffs and other restrictions related to those markets. Recently, the United States has proposed to impose multiple rounds of tariffs on a wide range of goods imported from multiple countries, including China, and China has responded with retaliatory tariffs. Since February 2025, the U.S. administration has proposed to increase the total tariff level for imported Chinese goods to 145% and additional tariff increase could be imposed as the trade tension between the two countries continues to heighten. On April 11, 2025, China has responded by hiking its levies on U.S. imports to 125%. On August 12, 2025, the US-China tariff truce got extended for another 90 days until November 10, 2025. The United States announced on October 10, 2025 that it intends to impose an additional 100% tariff on Chinese origin products effective November 1, 2025. On October 20, 2025, the U.S. President threatened that the United States may impose additional tariffs of up to 155% on goods imported from China starting November 1, 2025, if no trade agreement is reached between the two countries before November 1, 2025. Against this backdrop, China has, in addition to the retaliatory tariffs noted above, also implemented, and may further implement countermeasures. Historically, tariffs have led to increased trade and political tensions, between the United States and China, as well as between the United States and other countries. Political tensions as a result of trade policies could reduce trade volume, cross-border investment, technological exchange, and other economic activities between major economies, resulting in a material adverse effect on global economic conditions and the stability of global financial and stock markets. Moreover, the heightened geopolitical uncertainty and potential for further escalation may discourage investments in securities issued by China-based issuers (including us) and affect the global macroeconomic environment. For example, it has been reported that the U.S. administration may consider imposing further restrictions or prohibitions on trading of Chinese securities in the United States. Although cross-border trade is not our principal business, any such geopolitical developments could materially and adversely affect our overall financial performance and prices of our Shares. The volume of automotive production in China and the rest of the world has fluctuated, sometimes significantly, from year to year, and we expect such fluctuations to give rise to fluctuations in the demand for our technology and service offerings. Any significant adverse change in any of these factors may result in a reduction in automotive sales and production by our automotive OEM customers and could have a material adverse effect on our business, results of operations and financial condition.</w:t>
      </w:r>
    </w:p>
    <w:p>
      <w:pPr>
        <w:spacing w:after="0" w:line="196"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not effectively identify, pursue and consummate strategic alliances, collaborations, investments or acquisitions. Even if it does, these could divert management’s attention, result in our incurring of significant costs or operating difficulties and dilution to our shareholders, disrupt our operations and materially and adversely affect our business, results of operations or financial condition.</w:t>
      </w:r>
    </w:p>
    <w:p>
      <w:pPr>
        <w:spacing w:after="0" w:line="18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may from time to time engage in evaluations of, and discussions with, possible domestic and international acquisitions, investments or alliance candidates. We cannot guarantee that we may be able to identify suitable strategic alliances, investment or acquisition opportunities. Even when we identify an appropriate acquisition or investment target, we may not be able to negotiate the terms of the acquisition or investment successfully, obtain financing for the proposed transaction, or integrate the relevant businesses into our existing business and operations. In addition, after the completion of an acquisition or formation of a joint venture, the subsequent business integration and development require significant time and attention from our management to achieve synergies effect and could result in a diversion of resources from our existing business. We cannot assure you that we are able to complete the integration or achieve synergies effects successfully on a timely basis and realize the anticipated synergies from such acquisition or strategic alliance. Furthermore, as we have limited control over the companies in which we only have a minority stake, we cannot ensure that these companies will always comply with applicable laws and regulations in their business operations. Non-compliance with regulatory requirements by our investees may cause substantial harm to our reputation and the value of our investment. In addition, there may be particular complexities, regulatory or otherwise, associated with our expansion into new markets. Our strategies may not be successfully implemented beyond the current markets. If we are unable to address these challenges effectively, our ability to execute acquisitions as a component of our long-term strategy will be impaired, which could have an adverse effect on our growth.</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Increasing focus with respect to environmental, social and governance matters may impose additional costs on us or expose us to additional risks. Failure to comply with the laws and regulations on environmental, social and governance matters may subject us to penalties and adversely affect our business, financial condition and results of operation.</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Companies across all industries are facing increasing scrutiny relating to their environmental, social and governance, or ESG, policies. Investors, lenders and other market participants are increasingly focused on ESG practices and in recent years have placed increasing importance on the implications and social cost of their investments. The increased focus and activism related to ESG calls for capital, investors and lenders to tilt their investment decisions to favor industries and companies with recognized ESG practices. The autonomous driving technology we are developing has significant safety benefits. Our autonomous driving technology is designed to reduce the risk of human error on the road, which is a major cause of accidents and fatalities worldwide. We design our autonomous vehicles to be capable of operating more efficiently than human-driven cars by optimizing routes, maintaining a consistent speed and avoiding sudden acceleration or braking, which helps to reduce fuel consumption and carbon emission. Despite our continuous efforts to adapt to and comply with standards related to ESG, we may not be able to always meet the evolving standards. We may be perceived to not have responded appropriately to the growing concern for ESG issues, regardless of whether there is a legal requirement to do so. We may therefore suffer from reputational damage, which will negatively affect our future business, financial condition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enforcement of PRC laws and regulations is evolving and subject to change, and changes in policies, laws and regulations in China, could materially and adversely affect us.</w:t>
      </w:r>
    </w:p>
    <w:p>
      <w:pPr>
        <w:spacing w:after="0" w:line="15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Most of our operating entities are incorporated under and governed by the laws of the PRC. In 1979, the PRC regulatory authority began to promulgate a comprehensive system of laws and regulations governing economic matters in general. The overall effect of legislation over the past three decades has significantly enhanced the protections afforded to various forms of foreign investments in China. In particular, the PRC legal system is a civil law system based on written statutes and therefore, prior court decisions under the civil law system may be cited for reference but have limited precedential value.</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PRC subsidiaries and their subsidiaries are subject to laws and regulations applicable to foreign-invested enterprises as well as various Chinese laws and regulations generally applicable to companies incorporated in China. Since these laws and regulations are relatively new and the PRC legal system continues to rapidly evolve, the interpretations of many laws, regulations and rules and enforcement of these laws, regulations and rules may change from time to time, which may affect our judgment on the relevance of legal requirements and our ability to enforce our contractual rights or tort claims. In addition, the regulatory ambiguity may be exploited by third parties through unmerited or frivolous legal actions or threats in attempts to extract payments or benefits from us. Furthermore, any administrative and court proceedings may be protracted, resulting in substantial costs and diversion of resources and management attention.</w:t>
      </w:r>
    </w:p>
    <w:p>
      <w:pPr>
        <w:spacing w:after="0" w:line="19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PRC regulatory authorities have significant oversight over our business and may influence our operations as they deem appropriate to further economic, regulatory, political and societal goals. The PRC regulatory authorities have recently published new policies that affected our industry, and we cannot rule out the possibility that it will in the future further release regulations or policies regarding our industry that could further adversely affect our business, financial condition and results of operations. Furthermore, the PRC regulatory authority has also recently published new regulations and guidance to exert more oversight and control over securities offerings and other capital markets activities that are conducted overseas and foreign investment in China-based companies like us. Any such action, once taken by the PRC regulatory authority, could significantly limit or completely hinder our ability to offer or continue to offer securities to investors and cause the value of such securities to significantly decline or in extreme cases, become worthless. We cannot assure you that we will be able to comply with these new laws and regulations in all respects, and we may be ordered to rectify, suspend or terminate any actions or services that are deemed illegal by the regulatory authorities and become subject to material penalties, which may materially harm our business, financial condition, results of operations and prospects, as well as the value of the ADSs and/or Class A ordinary shares.</w:t>
      </w: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could be negatively impacted by possible changes to the U.S. government’s new China-focused Outbound Investment Program; these developments may adversely affect our business, financial condition, results of operations, and the value of the ADSs.</w:t>
      </w:r>
    </w:p>
    <w:p>
      <w:pPr>
        <w:spacing w:after="0" w:line="136"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On August 9, 2023, the Biden administration published an executive order and the Treasury published an advanced notice of proposed rule-making (the “ANPRM”) providing a conceptual framework for outbound investment controls focused on China, including Hong Kong and Macau (the “Outbound Investment Program” or the “OIP”). Further to this ANPRM, on June 21, 2024, Treasury issued a proposed rule on outbound U.S. investments involving China that is generally consistent in its requirements with the ANPRM. On October 28, 2024, Treasury issued a final rule to implement the executive order of August 9, 2023 (the “Final Rules”). The Final Rule took effect on January 2, 2025. The Final Rule targets investments involving persons and entities associated with “countries of concern,” currently China, including the SAR regions of Hong Kong and Macau. The OIP imposes investment prohibitions and notification requirements on U.S. persons (which are broadly defined under the Final Rule, including, among others, U.S.-incorporated entities, U.S. citizens and permanent residents wherever located, branches of U.S. entities outside the United States, and any person in the United States) in a range of investments in companies engaged in, or having significant financial ties to companies engaged in, certain activities relating to three technology sectors: (i) semiconductors and microelectronics, (ii) quantum information technologies, and (iii) artificial intelligence systems. Under the OIP, “Covered Foreign Persons” include, but are not limited to, (i) companies that are engaged in one of these three technology sectors and that are headquartered, incorporated in, or have their principal place of business in a “country of concern,” (ii) companies that are engaged in one of these three technology sectors and that are directly or indirectly owned by the government of a “country of concern” or by certain individuals or entities associated with a “country of concern,” and (iii) companies with significant financial ties to companies described in (i) or (ii). Investments by U.S. persons subject to the OIP, which are defined as “covered transactions,” include certain transactions involving “Covered Foreign Persons,” including certain acquisitions of equity interests and contingent equity interests, debt financing, joint ventures, and investments as a limited partner in a non-U.S. person pooled investment fund. The OIP requires parent U.S. person-entities of non-U.S. entities to “take all reasonable steps to prohibit and prevent any transaction by” their non-U.S. entities that would be a prohibited transaction if engaged in by a U.S. person. The OIP’s notification requirements also apply to U.S. person-entities that are the parents of non-U.S. entities that enter into transactions that would be notifiable transactions if entered into by a U.S. person. The OIP prohibits U.S. persons from knowingly directing a non-U.S. person from entering into a transaction that would be prohibited if entered into by a U.S. person. The OIP includes some exceptions, which, if applicable, exclude a transaction that would otherwise be either a prohibited transaction or a notifiable transaction if engaged in by a U.S. person is not considered a prohibited transaction or a notifiable transaction from these provisions of the Final Rule. These exceptions include one applicable to certain U.S. person investments in publicly traded securities that are traded on a national stock exchange (such as our currently outstanding ADSs that are traded on the Nasdaq) (the “Publicly Traded Securities Exception”). The OIP is aimed, in part, at exerting greater U.S. government oversight over certain U.S. direct and indirect investments involving China in the identified technology sectors, and it may introduce new hurdles and uncertainties for cross-border collaborations, investments, and funding opportunities for China-based issuers, including us.</w:t>
      </w:r>
    </w:p>
    <w:p>
      <w:pPr>
        <w:spacing w:after="0" w:line="20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are likely to be deemed a Covered Foreign Person engaged in activities described in the definition of “Notifiable Transaction” under the OIP. Specifically, (i) we are likely to be deemed to be a “Covered Foreign Person” that develops “AI systems” (as defined in the OIP) intended to be used for the control of robotic systems and (ii) neither we nor our subsidiaries (A) are engaged in activities described in the definition of “Prohibited Transaction” under the OIP (e.g., AI systems designed to be exclusively used for, or intended to be used for, any military end use) or (B) are identified on certain U.S. restricted parties lists (e.g., the U.S. Department of Commerce’s Entity List or Treasury’s Office of Foreign Asset Control’s Specially Designated Nationals and Blocked Persons List) or satisfy certain definitions under the Export Administration Regulations identified in the definition of “Prohibited Transaction” under the OIP (e.g., the definition of “Military Intelligence End-User” specified at 15 C.F.R. § 744.22(f)(2)). Certain U.S. person transactions with Covered Foreign Persons that meet the criteria described in the preceding sentence are covered by the OIP’s U.S. person notification requirements unless an exception is available. U.S. persons’ or their non-U.S. person subsidiaries’ purchase of certain publicly traded securities (such as the Company’s currently outstanding ADSs that already are traded on the Nasdaq) may be eligible for the Publicly Traded Securities Exception (provided such U.S. persons or their non-U.S. person subsidiaries are not afforded rights beyond standard minority shareholder protections with respect to the Company).</w:t>
      </w:r>
    </w:p>
    <w:p>
      <w:pPr>
        <w:spacing w:after="0" w:line="18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Failing to comply with the OIP notification requirements or failing to provide accurate and complete information in a filing under the OIP may subject the relevant U.S. persons to civil penalties including fines of up to the greater of two times the transaction value or US$377,700 (as such amount may be adjusted for inflation), and — for willful violations — criminal penalties of fines of up to US$1 million and imprisonment of up to 20 years.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No publicly available precedent exists for application of the OIP regulations by Treasury or any court or other regulatory, judicial or other legal authority to specific transactions. In addition, the OIP may be changed by executive actions of the U.S. government, including changes to the scope of activities and technologies applicable to notifiable or prohibited transactions or the scope and availability of exceptions to the OIP’s prohibitions or notification requirements. Specifically, on January 20, 2025, the U.S. government issued a national security presidential memorandum, entitled “America First Trade Policy”, which, among other things, directs the Secretary of the Treasury and several other executive departments and offices of the U.S. government to review the OIP to determine if it includes “sufficient controls to address national security threats” and to determine whether the executive order implementing the OIP “should be modified or rescinded and replaced.” In addition, on February 21, 2025, the U.S. government issued a national security presidential memorandum entitled “America First Investment Policy” which, among other things, states that the U.S. government will consider possible application of the OIP to a wider range of technology sectors, including biotechnology, hypersonics, aerospace, advanced manufacturing, directed energy, and other areas “implicated by the PRC’s national Military-Civil Fusion strategy” and application of restrictions to a wider range of investments, including publicly traded securities. On April 3, 2025, the Trump Administration stated that it plans to evaluate whether the scope of outbound investment restrictions should be expanded “to be responsive to developments in technology and the strategies of countries of concern.” Possible changes to the OIP could limit or, in the worst-case scenario, eliminate our ability to raise capital or contingent equity capital (such as convertible bonds) from U.S. investors in the future, or our ability to raise such capital may be significantly and negatively affected, which could be detrimental to our capital-raising capacity and our business, financial condition and prospects. In addition, changes to the Publicly Traded Securities Exception or other aspects of the OIP could prohibit the purchase or trading of our Shares and ADSs by U.S. persons, impose new notification or other regulatory requirements, or make our Class A ordinary shares and the ADSs less attractive to such investors. In such cases, the value of our Class A ordinary shares and the ADSs may significantly decline, or in extreme cases, become worthless, and our liquidity may be materially and adversely affected.</w:t>
      </w:r>
    </w:p>
    <w:p>
      <w:pPr>
        <w:spacing w:after="0" w:line="1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Tensions in international trade and investment and rising political tensions, particularly between the United States and China, may adversely impact our business, financial condition, and results of operations.</w:t>
      </w:r>
    </w:p>
    <w:p>
      <w:pPr>
        <w:spacing w:after="0" w:line="159" w:lineRule="exact"/>
        <w:rPr>
          <w:sz w:val="20"/>
          <w:szCs w:val="20"/>
          <w:color w:val="auto"/>
        </w:rPr>
      </w:pPr>
    </w:p>
    <w:p>
      <w:pPr>
        <w:ind w:right="160" w:firstLine="324"/>
        <w:spacing w:after="0" w:line="253" w:lineRule="auto"/>
        <w:rPr>
          <w:sz w:val="20"/>
          <w:szCs w:val="20"/>
          <w:color w:val="auto"/>
        </w:rPr>
      </w:pPr>
      <w:r>
        <w:rPr>
          <w:rFonts w:ascii="Times New Roman" w:cs="Times New Roman" w:eastAsia="Times New Roman" w:hAnsi="Times New Roman"/>
          <w:sz w:val="18"/>
          <w:szCs w:val="18"/>
          <w:color w:val="auto"/>
        </w:rPr>
        <w:t>We have operations in both China and the United States. Although most of our customers and suppliers are located in China, our current and future customers in China may sell or plan to sell their products outside of China. Therefore, government regulations and policies restricting international trade and investment, such as capital controls, economic or trade sanctions, export controls, tariffs or foreign investment filings and approvals, may affect the demand for our solutions, impact the competitive position of our solutions, prevent us from offering solutions in certain countries, limit our customers’ ability to sell their products abroad, or disrupt our research and development activities. If any new tariffs, legislation, or regulations are implemented, or if existing trade agreements are renegotiated, such changes could adversely affect our business, financial condition, and results of operations. Recently, there have been heightened tensions in international economic relations, such as that between the United States and China, but also as a result of the conflict in Ukraine and sanctions on Russia as well as the recent conflicts in the Middle East. In October 2022, the U.S. Department of Commerce published an interim final rule that introduced novel restrictions related to semiconductors, semiconductor manufacturing, supercomputer, and advanced computing items and end uses in China. These rules were made more restrictive in October 2023 and additional rules were proposed in January 2025. These sanctions and export controls could adversely affect us and/or our supply chain, business partners, or customers.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7"/>
          <w:szCs w:val="17"/>
          <w:color w:val="auto"/>
        </w:rPr>
        <w:t>Since 2018, the U.S. government has imposed, and has proposed to impose additional, new, or higher tariffs on certain products imported from China to penalize China for what it characterizes as unfair trade practices and these measures have recently increased. The initial new tariffs implemented in 2018, included both product-specific tariffs, as well as broader measures affecting all imports from China. China responded by imposing, and proposing to impose additional, new, or higher tariffs on certain products imported from the United States. On May 14, 2024, the U.S. government announced higher tariffs on steel and aluminum, semiconductors, electric vehicles, batteries, critical minerals, solar cells, ship-to-shore cranes and medical products. These higher tariffs were based on claims that China has engaged in unfair trade practices. The highest of these tariffs are applicable to electric vehicles, which have been subject to a tariff rate of 100% since August 1, 2024, an increase from the earlier rate of 25%. From August 21, 2024, the European Commission imposed higher tariffs on imports of electric vehicles made in China. These new tariffs, which apply across the European Union, range from</w:t>
      </w:r>
    </w:p>
    <w:p>
      <w:pPr>
        <w:spacing w:after="0" w:line="5"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17.0% to 36.3%, depending on the OEM that produced the vehicle. Shortly after these higher EU tariffs on Chinese EVs were confirmed by a majority of EU states, China imposed provisional tariffs on brandy imports from China, with rates of 30.6% or 39%, effective October 11, 2024. Since February 2025, the U.S. administration has proposed to increase the total tariff level for imported Chinese goods to 145% and additional tariff increase could be imposed as the trade tension between the two countries continues to heighten. On April 11, 2025, China has responded by hiking its levies on U.S. imports to 125%. These and similar developments may mark a period of increased trade tensions and higher tariff rates. As these tariffs are recently promulgated, we are still in the process of assessing the impact of such tariffs on our business; we note, however, they have affected and could further impact our customers that export goods to these markets and could potentially impact our supplier chain. Furthermore, international trade disputes could more broadly affect economic conditions globally, which could harm our business prospects. In addition to tariffs, the U.S. government has issued new rules that expanded the definition of military end use and eliminated the applicability of certain license exceptions for exports to countries including China, thereby expanding the export license requirements for U.S. companies to sell certain items to companies in China that have operations that could support military end uses. The U.S. government has also broadened the restrictions on the sale of goods manufactured outside the United States that are produced using certain controlled U.S.-origin technology or software to companies on a special list (the “Entity List”), and the restrictions on the use of U.S.-origin semiconductor manufacturing equipment that produces semiconductor devices for companies on the Entity List. In recent years the U.S. has placed certain entities, including a number of entities in China, on the Entity List, which imposes licensing requirement for exports or transfers of items on lists of controlled items maintained by the U.S. government. Certain of our suppliers were recently added to the Entity List. These export control measures could directly or indirectly impact companies in our supply chain, and any failure by us to obtain the requisite licenses and authorizations or otherwise comply with export control restrictions could result in civil or criminal penalties, as well as reputational damage.</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Against this backdrop, China has, in addition to the retaliatory tariffs noted above, also implemented, and may further implement countermeasures. For example, on June 10, 2021, the Standing Committee of National People’s Congress (the “SCNPC”) passed the Countering Foreign Sanctions Law, which became effective immediately. This law provides a legal basis for the Chinese regulators to take action in response to foreign sanctions, as well as for Chinese citizens and organizations to bring civil actions for injunctive relief or damages. Under the Countering Foreign Sanctions Law, the competent department of the State Council may place any individuals and organizations that are directly or indirectly involved in making, determining, or implementing the discriminatory restrictive measures as provided therein on the Countermeasure List. A foreign individual or organization on the Countermeasure List may be subject to one or several countermeasures, including but not limited to prohibitions or restrictions on commercial transactions, cooperation or such other activities with organizations and individuals within the territory of China. Any organization and individual within the territory of China is required to comply with the countermeasures, and failure to comply or cooperate may result in liability in accordance with law.</w:t>
      </w:r>
    </w:p>
    <w:p>
      <w:pPr>
        <w:spacing w:after="0" w:line="19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Among the future potential changes to the U.S. export control laws and regulations that could limit our ability to operate our business in connection with the United States, including investing in or forming strategic alliances with any U.S. business, is the ongoing review being conducted pursuant by an interagency committee chaired by the U.S. Department of Commerce pursuant to the Export Control Reform Act of 2018 (the “ECRA”) to identify so-called “emerging and foundational technologies” that might warrant additional export controls under Section 1758 of the ECRA.</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On February 21, 2025, U.S. President Trump issued the America First Investment Policy Memorandum, which included plans to broaden the jurisdiction and significantly revise the operations of Committee on Foreign Investment in the United States (“CFIUS”) the organization that regulates foreign investments in the United States, with a focus on what it characterized as the “new and evolving threats” associated with foreign investment, with a particular focus on China. The memorandum directs the implementation of new rules that will prohibit Chinese-affiliated purchasers from purchasing “critical American business and assets” and permit only investments that “serve American interests,” and announces that “mitigation agreements,” which are used to narrowly address national security concerns in some investments, will no longer but used. The memorandum also directs a further review of the U.S.’s OIP. If implemented, the measures discussed in the memorandum could substantially restrict both outbound U.S. investment in China, as well as Chinese investment in the United States. These measures follow previously announced steps to use the CFIUS process to restrict investment, including the November 19, 2018 publication by the U.S. Department of Commerce of an Advanced Notice of Proposed Rulemaking seeking public comment on the definition of, and criteria for, identifying “emerging technologies” that might warrant additional export controls. The impact of being controlled as “emerging and foundational technologies” includes mandatory review by CFIUS in connection with future foreign investments in our shares. Significant CFIUS reform legislation, which was fully implemented through regulations that became effective on February 13, 2020, among other things expanded the scope of CFIUS’s jurisdiction to investments that do not result in control of a U.S. business by a foreign person but afford certain foreign investors certain information or governance rights in a U.S. business that has a nexus to “critical technologies,” “critical infrastructure” and/or “sensitive personal data.” Any restrictions implemented by CFIUS, or the threat of any such action, may adversely impact investors’ ability to invest in our shares, and the overall market for the ADSs.</w:t>
      </w:r>
    </w:p>
    <w:p>
      <w:pPr>
        <w:spacing w:after="0" w:line="192"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January 14, 2025, the U.S. Department of Commerce published a final rule to addressing perceived U.S. national security risks associated with connected vehicle technologies, which establishes comprehensive prohibitions targeting specific hardware and software integral to </w:t>
      </w:r>
      <w:r>
        <w:rPr>
          <w:rFonts w:ascii="Times New Roman" w:cs="Times New Roman" w:eastAsia="Times New Roman" w:hAnsi="Times New Roman"/>
          <w:sz w:val="18"/>
          <w:szCs w:val="18"/>
          <w:color w:val="231F20"/>
        </w:rPr>
        <w:t>vehicle connectivity systems, or VCS,</w:t>
      </w:r>
      <w:r>
        <w:rPr>
          <w:rFonts w:ascii="Times New Roman" w:cs="Times New Roman" w:eastAsia="Times New Roman" w:hAnsi="Times New Roman"/>
          <w:sz w:val="18"/>
          <w:szCs w:val="18"/>
          <w:color w:val="auto"/>
        </w:rPr>
        <w:t xml:space="preserve"> and automated driving systems. These prohibitions are designed to mitigate the perceived national security risks associated with entities owned by, controlled by, or subject to the jurisdiction or direction of China or Russia. As of the date of this annual report, our U.S. operations focuses on research and development activities, and we do not operate any fleet of autonomous vehicles in the United States. We may either modify or, alternatively, discontinue or otherwise dispose of our U.S.-based R&amp;D in the event of any further regulatory restrictions imposed under these rules or other laws and regulations. With respect to imports and sales, our limited U.S. revenues were primarily derived from the licensing and applications business, which did not involve sales of any connected and autonomous vehicles that were equipped with Chinese software or hardware subject to the final rule. If any other new and more stringent regulations were enacted, we may be subject to limitations, restrictions and/or prohibitions on the application or development of autonomous driving technology, including the possibility that we could be required to terminate some or all of our U.S. operations.</w:t>
      </w:r>
    </w:p>
    <w:p>
      <w:pPr>
        <w:spacing w:after="0" w:line="19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Tensions in international trade and investment and political tensions between the United States and China, and any escalation of such tensions, may have a material negative impact on our ability to secure the supply of key components necessary for our operations and our ability to continue to sell to global customers. For example, while we are not currently affected by the Entity List or other U.S. export control laws or regulations in any material respect, as the Entity List and other U.S. export control laws and regulations continue to expand and evolve, future U.S. export controls may materially affect or target some of our suppliers or customers. As a result, our business may be affected if we fail to promptly secure alternative sources of supply or demand on terms acceptable to us. Moreover, the heightened geopolitical uncertainty and potential for further escalation may discourage investments in securities issued by China-based issuers (including us) and affect the global macroeconomic environment. For example, it has been reported that the U.S. administration may consider imposing further restrictions or prohibitions on trading and listing of Chinese securities. Rising political tensions could reduce levels of trade, investment, technological exchange, and other economic activities between the United States and China, which would have a material adverse effect on global economic conditions and the stability of global financial markets as well as our and our customers’ business, prospects, financial condition, and results of operations, and could cause investors to be unwilling to hold or buy the ADSs and/or our Class A ordinary shares and consequently cause the trading price of the ADSs and/or our Class A ordinary shares to decline.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export controls that could restrict our ability to transfer certain products and technologies, and increasingly restrictive controls toward China’s artificial intelligence industry could limit our ability to obtain advanced semiconductors and other technology needed for product development.</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Certain of our products and technologies may be subject to U.S. Export Administration Regulations, or the EAR, which are administered by U.S. Department of Commerce’s Bureau of Industry and Security (the “BIS”) in certain situations. As of the date of this annual report, those products and technologies that may be subject to the EAR will be designated as “EAR99” or “5A992.c,” which are generally the lowest level of EAR controls and prohibits us from exporting, reexporting or transferring these products and technologies to certain persons, including those on the BIS’s “Entity List,” or to certain territories (such as Russia, Belarus, Iran, North Korea, Cuba and Syria), or persons subject to sanctions, or for any prohibited end-use without a license. While we believe that currently applicable designations and controls of our products and technologies under the EAR do not impose material limitations on our operations, BIS could apply more restrictive designations or controls to our current or future product and technologies or prohibit additional parties from receiving products or technologies that are subject to the EAR. These or similar developments could materially restrict or prohibit our ability to export, reexport or transfer our products and technologies subject to the EAR, including to potential customers in the future, which could materially and adversely affect our business plans and prospects. In light of recent changes in the U.S. government’s approach to export controls to China, we cannot assure that these changes will not occur. Furthermore, U.S. export control regulations are complex, and if we were to fail to comply with U.S. export control laws and regulations or other similar laws, we could be subject to both civil and criminal penalties, including substantial fines, possible incarceration of our employees and managers for willful violations and the possible loss of our U.S. export or import privileges. Any failure to comply with such laws and regulations could have negative consequences for us, including government investigations and penalties.</w:t>
      </w:r>
    </w:p>
    <w:p>
      <w:pPr>
        <w:spacing w:after="0" w:line="19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October 7, 2022, the BIS issued new regulations that substantially tightened U.S. export controls in respect of China, including those applicable to advanced microcomputer chips and the technology and equipment needed to produce them and these regulations were made more restrictive in October 2023. Furthermore, in speeches and statements from the U.S. administration, they announced a policy of keeping the U.S. substantially ahead of China in certain “foundational technologies,” including artificial intelligence. These or future export controls or other policies by the United States or other countries may limit our ability to obtain the technology and products, including products containing advanced semiconductors, necessary to develop new products; any of these developments could materially and adversely affect our results of operations and business prospects.</w:t>
      </w:r>
    </w:p>
    <w:p>
      <w:pPr>
        <w:spacing w:after="0" w:line="1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and social conditions as well as government policies could have a material adverse effect on our business and prospect.</w:t>
      </w:r>
    </w:p>
    <w:p>
      <w:pPr>
        <w:spacing w:after="0" w:line="159"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A critical part of our business operations is located in China. Accordingly, our business, prospect, financial condition and results of operations may be influenced to a significant degree by political, economic and social conditions in China generally, and by continued economic growth in China as a whole. The Chinese economy differs from the economies of most developed countries in many aspects, including the degree of level of development, growth rate, foreign exchange regulation and allocation of resources. In addition, the Chinese regulators continue to play a significant role in regulating industry development by imposing industrial policies. The Chinese regulators also have influence over China’s economic growth through allocating resources, regulating payment of foreign currency-denominated obligations, setting monetary policy and providing preferential treatment to particular industries or companies.</w:t>
      </w:r>
    </w:p>
    <w:p>
      <w:pPr>
        <w:spacing w:after="0" w:line="18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Any adverse changes in economic conditions in China, in the policies promulgated by the Chinese regulators or in the laws and regulations in China could have a material adverse effect on the overall economic growth of China. Such developments could adversely affect our business and operating results, lead to a reduction in demand for our services and adversely affect our competitive position. The Chinese regulators have implemented various measures to encourage economic growth and guide the allocation of resources. Some of these measures may benefit the overall Chinese economy, but may have a negative effect on us.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approval, filing or other requirements of the CSRC or other PRC regulatory authorities may be required under PRC law in connection with our future overseas securities offerings, and we cannot predict whether or for how long we will be able to obtain such approval or complete such filing.</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Regulations on Mergers and Acquisitions of Domestic Enterprises by Foreign Investors (the “M&amp;A Rules”) purport to require offshore special purpose vehicles that are controlled by PRC companies or individuals and that have been formed for the purpose of seeking a public listing on an overseas stock exchange through acquisitions of PRC domestic companies or subscription of new shares issued by PRC domestic company using the equity of offshore special purpose vehicles or using its new shares as consideration, to obtain approval from the CSRC prior to publicly listing their securities on an overseas stock exchange. The interpretation and application of the regulations remain unclear. If CSRC approval under the M&amp;A Rules is required, it is uncertain whether it would be possible for us to obtain the approval, and any failure to obtain or delay in obtaining CSRC approval for our future issuance of securities overseas would subject us to sanctions imposed by the CSRC and other PRC regulatory agencies.</w:t>
      </w:r>
    </w:p>
    <w:p>
      <w:pPr>
        <w:spacing w:after="0" w:line="192" w:lineRule="exact"/>
        <w:rPr>
          <w:sz w:val="20"/>
          <w:szCs w:val="20"/>
          <w:color w:val="auto"/>
        </w:rPr>
      </w:pPr>
    </w:p>
    <w:p>
      <w:pPr>
        <w:ind w:firstLine="324"/>
        <w:spacing w:after="0" w:line="270" w:lineRule="auto"/>
        <w:rPr>
          <w:sz w:val="20"/>
          <w:szCs w:val="20"/>
          <w:color w:val="auto"/>
        </w:rPr>
      </w:pPr>
      <w:r>
        <w:rPr>
          <w:rFonts w:ascii="Times New Roman" w:cs="Times New Roman" w:eastAsia="Times New Roman" w:hAnsi="Times New Roman"/>
          <w:sz w:val="17"/>
          <w:szCs w:val="17"/>
          <w:color w:val="auto"/>
        </w:rPr>
        <w:t>Furthermore, numerous regulations, guidelines and other measures have been or are expected to be adopted under the umbrella of or in addition to the Cybersecurity Law, Data Security Law and Personal Information Protection Law, including (i) the amended Cybersecurity Review Measures, which came into effect on February 15, 2022, provide that a “network platform operator” that possesses personal information of more than one million users and seeks a listing in a foreign country must apply for a cybersecurity review, and</w:t>
      </w:r>
    </w:p>
    <w:p>
      <w:pPr>
        <w:spacing w:after="0" w:line="3" w:lineRule="exact"/>
        <w:rPr>
          <w:sz w:val="20"/>
          <w:szCs w:val="20"/>
          <w:color w:val="auto"/>
        </w:rPr>
      </w:pPr>
    </w:p>
    <w:p>
      <w:pPr>
        <w:ind w:right="20" w:firstLine="8"/>
        <w:spacing w:after="0" w:line="251" w:lineRule="auto"/>
        <w:tabs>
          <w:tab w:leader="none" w:pos="2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on Promoting and Regulating Cross-border Data Flows, which came into effect on March 22, 2024, provide that certain types of data processors transferring important data or personal information collected and generated during operations within the territory of the PRC to an overseas recipient must apply for security assessment of cross-border data transfer. </w:t>
      </w:r>
      <w:r>
        <w:rPr>
          <w:rFonts w:ascii="Times New Roman" w:cs="Times New Roman" w:eastAsia="Times New Roman" w:hAnsi="Times New Roman"/>
          <w:sz w:val="18"/>
          <w:szCs w:val="18"/>
          <w:color w:val="231F20"/>
        </w:rPr>
        <w:t>There is no assurance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we will not be required under the Cybersecurity Review Measures to apply for a cybersecurity review in connection with </w:t>
      </w:r>
      <w:r>
        <w:rPr>
          <w:rFonts w:ascii="Times New Roman" w:cs="Times New Roman" w:eastAsia="Times New Roman" w:hAnsi="Times New Roman"/>
          <w:sz w:val="18"/>
          <w:szCs w:val="18"/>
          <w:color w:val="000000"/>
        </w:rPr>
        <w:t>our future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issuance of securities overseas</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000000"/>
        </w:rPr>
        <w:t xml:space="preserve"> If and when we are required to go through a cybersecurity review, we may not be able to timely complete the review, or at all, which may bring substantial uncertainties to our future listing and financing plan, and therefore adversely affect our business and results of operations. In addition, we believe that we are not required under the Provisions on Promoting and Regulating Cross-border Data Flows to apply for security assessment of cross-border data transfer.</w:t>
      </w:r>
    </w:p>
    <w:p>
      <w:pPr>
        <w:spacing w:after="0" w:line="194"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On February 17, 2023, the CSRC published the Trial Administrative Measures of the Overseas Securities Offering and Listing by Domestic Companies and five supporting guidelines, collectively the Overseas Listing Filing Rules, which came into effect from March 31, 2023 and regulate both direct and indirect overseas offering and listing of PRC-based companies by adopting a filing-based regulatory regime. According to the Overseas Listing Filing Rules, if the issuer meets both of the following criteria, the overseas securities offering and listing conducted by such issuers shall be deemed as indirect overseas offering and listing: (i) more than 50% of the issuer’s operating revenue, total profit, total assets or net assets as documented in its audited consolidated financial statements for the most recent accounting year is accounted for by domestic companies; and (ii) the main parts of the issuer’s business activities are conducted in China, or its main places of business are located in China, or the senior managers in charge of its business operation and management are majority Chinese citizens or domiciled in China. Therefore, we shall comply with the relevant requirements under the Overseas Listing Filing Rules in connection with our future listing and financing plan.</w:t>
      </w:r>
    </w:p>
    <w:p>
      <w:pPr>
        <w:spacing w:after="0" w:line="194"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Overseas Listing Filing Rules provide that (i) the filing applications be submitted to the CSRC within three business days after the issuer submits its application documents relating to the initial public offering and/or listing in overseas; (ii) a timely report be submitted to the CSRC and update its CSRC filing within three business days after the occurrence of any of the following material events, if any of the following events occurs before the completion of the overseas offering and/or listing but after the completion of its CSRC filing: (a) any material change to principal business, licenses or qualifications of the issuer, (b) a change of control of the issuer or any material change to equity structure of the issuer, and (c) any material change to the offering and listing plan; (iii) after the completion of the listing, a report relating to the issuance information of such offering and/or listing be submitted to the CSRC and a report be submitted to the CSRC within three business days upon the occurrence and public announcement of any of the following material events after the overseas offering and/or listing: (a) a change of control of the issuer, (b) the investigation, sanction or other measures undertaken by any foreign securities regulatory agencies or relevant competent authorities in respect of the issuer, (c) change of the listing status or transfer of the listing board, and (d) the voluntary or mandatory delisting of the issuer; and (iv) where there is material change in the main business of the issuer after overseas offering and listing, which does not apply to the Overseas Listing Filing Rules therefore, such issuer shall submit to the CSRC a report and a relevant legal opinion issued by a domestic law firm within three business days after occurrence of such change.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In addition, our future financing activities may also need to be filed with and/or reported to the CSRC according to the Overseas Listing Filing Rules. On February 24, 2023, the CSRC, together with other governmental authorities, released the Provisions on Strengthening the Confidentiality and Archives Administration Related to the Overseas Securities Offering and Listing by Domestic Enterprises (the “Confidentiality and Archives Administration Provisions”), which became effective from March 31, 2023 and aims to expand the applicable scope of the regulation to indirect overseas offerings and listings by PRC domestic companies and emphasize the confidentiality and archive management duties of PRC domestic companies during the process of overseas offerings and listings. However, as there remain substantial uncertainty with respect to the interpretation and implementation of the Overseas Listing Filing Rules as well as the Confidentiality and Archives Administration Provisions, which both have just been released recently, we cannot assure you that we will be able to complete such filings in a timely manner and/or fully comply with such regulations in connection with our continued listing overseas and our overseas securities offerings in the future. If a domestic company fails to complete the filing procedure or conceals any material fact or falsifies any major content in its filing documents, such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Where any entity or individual fails to fulfill the confidentiality obligations under the relevant PRC laws during the overseas issuance and listing of PRC-based companies, such entity or individual may be subject to legal sanctions, such as warnings, fines, and criminal liabilities. See “Item 4. Information on the Company—4.B. Business Overview—Regulation—Regulations on M&amp;A Rules and Overseas Listings.”</w:t>
      </w:r>
    </w:p>
    <w:p>
      <w:pPr>
        <w:spacing w:after="0" w:line="19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Furthermore, if the CSRC or other regulatory authorities later promulgate new rules or explanations requiring that we or our shareholders obtain their approvals or accomplish the required filing or other regulatory procedures for our future financing activities or any subsequent change in shareholding structure, we and our shareholders may be unable to fulfill such requirements in a timely manner or at all. Any failure to comply with the PRC regulatory requirements in this regard, our ability to conduct business, our ability to pay dividends outside of China, completion of our future financing activities may be restricted, and our business, reputation, financial condition, and results of operations may be adversely affected.</w:t>
      </w:r>
    </w:p>
    <w:p>
      <w:pPr>
        <w:spacing w:after="0" w:line="1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in China against us or our management named in the annual report based on foreign laws.</w:t>
      </w:r>
    </w:p>
    <w:p>
      <w:pPr>
        <w:spacing w:after="0" w:line="15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We conduct a material portion of our operations in China, and a material portion of our assets are located in China. In addition, most of our senior executive officers reside within China for a significant portion of the time and are PRC nationals. As a result, it may be difficult for our shareholders to effect service of process upon us or those persons inside China or to enforce against us or them in China any judgments obtained from non-PRC courts. The PRC does not have treaties providing for the reciprocal recognition and enforcement of judgments of courts of most other jurisdictions. As a result, recognition and enforcement in the PRC of judgments of a court in any of these jurisdictions outside China may be difficult or even impossible.</w:t>
      </w:r>
    </w:p>
    <w:p>
      <w:pPr>
        <w:spacing w:after="0" w:line="18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recognition and enforcement of foreign judgments are basically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treaties providing for the reciprocal recognition and enforcement of judgments of courts with the United States, the Cayman Islands or many other countries and regions. Therefore, recognition and enforcement in China of judgments of a court in any of these non-PRC jurisdictions in relation to any matter not subject to a binding arbitration provision may be difficult or impossible. In addition, according to the PRC Civil Procedures Law, the PRC courts will not enforce a foreign judgment if it is decided as having violated the basic principles of PRC laws or national sovereignty, security or public interest. As a result, it is uncertain whether and on what basis a PRC court would enforce a judgment rendered by a court in the United States or the Cayman Islands.</w:t>
      </w:r>
    </w:p>
    <w:p>
      <w:pPr>
        <w:spacing w:after="0" w:line="18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SEC, U.S. Department of Justice and other U.S. authorities often have substantial difficulties in bringing and enforcing actions against non-U.S. companies and non-U.S. persons, including company directors and officers, in certain emerging markets, including China. Legal and other obstacles to obtaining information needed for investigations or litigation or to obtaining access to funds outside the United States, lack of support from local authorities, and other various factors make it difficult for the U.S. authorities to pursue actions against non-U.S. companies and individuals, who may have engaged in fraud or other wrongdoings. Additionally, public shareholders investing in the ADSs have limited rights and few practical remedies in emerging markets where we operate, as shareholder claims that are common in the United States, including class actions under securities law and fraud claims, generally are difficult or impossible to pursue as a matter of law or practicality in many emerging markets, including China. As a result of all of the above, you may have more difficulties in protecting your interests in your emerging market investments.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175"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Pony AI Inc. is a Cayman Islands holding company and, other than external financing, it relies principally on dividends and other distributions on equity from its PRC subsidiaries for cash requirements, including the funds necessary to pay dividends and other cash distributions to its shareholders and for services of any debt it may incur on a timely basis. Our PRC subsidiaries’ ability to distribute dividends is based upon their distributable earnings. Current PRC regulations permit our PRC subsidiaries to pay dividends to their respective shareholders only out of their accumulated profits, if any, determined in accordance with PRC accounting standards and regulations. In addition, each of our PRC subsidiaries are required to set aside at least 10% of their after-tax profits each year, if any, to fund a statutory reserve until such reserve reaches 50% of their registered capital. These reserves are not distributable as cash dividends.</w:t>
      </w:r>
    </w:p>
    <w:p>
      <w:pPr>
        <w:spacing w:after="0" w:line="18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If our PRC subsidiaries incur debt on their own behalf in the future, the instruments governing the debt may restrict their ability to pay dividends or make other distributions to us, which may restrict our ability to satisfy our liquidity requirements. Investors in our securities should note that, to the extent cash in the business is in the PRC or Hong Kong or a PRC or Hong Kong entity, the funds may not be available to fund operations or for other use outside of the PRC or Hong Kong due to interventions in or the imposition of restrictions and limitations on the ability of Pony AI Inc. or its subsidiaries by the PRC regulatory authority to transfer cash.</w:t>
      </w:r>
    </w:p>
    <w:p>
      <w:pPr>
        <w:spacing w:after="0" w:line="18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response to the persistent capital outflow and the Renminbi’s depreciation against the U.S. dollar in the fourth quarter of 2016, the People’s Bank of China and the State Administration of Foreign Exchange (the “SAFE”) have implemented a series of capital control measures in the subsequent months, including stricter vetting procedures for China-based companies to remit foreign currency for overseas acquisitions, dividend payments and shareholder loan repayments. For instance, the People’s Bank of China issued the Circular on Further Clarification of Relevant Matters Relating to Offshore RMB Loans Provided by Domestic Enterprises (the “PBOC Circular 306”) on November 26, 2016, which provides that offshore RMB loans provided by a domestic enterprise to offshore enterprises with which it has an equity relationship shall not exceed 30% of the domestic enterprise’s most recent audited owner’s equity. PBOC Circular 306 may constrain our PRC subsidiaries’ ability to provide offshore loans to us. The PRC regulatory authority may continue to strengthen its capital controls and our PRC subsidiaries’ dividends and other distributions may be subjected to tighter scrutiny in the future. 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19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addition, the Enterprise Income Tax Law and its implementation rules provide that a withholding tax rate of up to 10% will be applicable to dividends payable by Chinese companies to non-PRC resident enterprises unless otherwise exempted or reduced according to treaties or arrangements between the PRC central government and governments of other countries or regions where the non-PRC resident enterprises are incorporated.</w:t>
      </w:r>
    </w:p>
    <w:p>
      <w:pPr>
        <w:spacing w:after="0" w:line="176"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custodians or authorized users of our controlling non-tangible assets, including chops and seals, may fail to fulfill their responsibilities, or misappropriate or misuse these assets.</w:t>
      </w:r>
    </w:p>
    <w:p>
      <w:pPr>
        <w:spacing w:after="0" w:line="15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Under PRC law, legal documents for corporate transactions, including agreements and contracts are executed using the chop or seal of the signing entity or with the signature of a legal representative whose designation is registered and filed with relevant PRC market regulation administrative authorities.</w:t>
      </w:r>
    </w:p>
    <w:p>
      <w:pPr>
        <w:spacing w:after="0" w:line="17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order to secure the use of our chops and seals, we have established internal control procedures and rules for using these chops and seals. In any event that the chops and seals are intended to be used, the responsible personnel will submit the application through our office automation system and the application will be verified and approved by authorized employees in accordance with our internal control procedures and rules. In addition, in order to maintain the physical security of our chops, we generally have them stored in secured locations accessible only to authorized employees. Although we monitor such authorized employees, the procedures may not be sufficient to prevent all instances of abuse or negligence. There is a risk that our employees could abuse their authority, for example, by entering into a contract not approved by us or seeking to gain control of one of our subsidiaries. If any employee obtains, misuses or misappropriates our chops and seals or other controlling non-tangible assets for whatever reason, we could experience disruption to our normal business operations. We may have to take corporate or legal action, which could involve significant time and resources to resolve and divert management from our operations.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foreign currency exchange rates could result in declines in reported sales and net earnings.</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value of the Renminbi against the U.S. dollar and other currencies may fluctuate and is affected by, among other things, changes in political and economic conditions in China and by China’s foreign exchange policies. On July 21, 2005, the PRC regulatory authority changed its decade-old policy of pegging the value of the Renminbi to the U.S. dollar, and the Renminbi appreciated more than 20% against the U.S. dollar over the following three years. Between July 2008 and June 2010, this appreciation halted and the exchange rate between the Renminbi and the U.S. dollar remained within a narrow band. Since June 2010, the Renminbi has fluctuated against the U.S. dollar, at times significantly and unpredictably. On November 30, 2015, the Executive Board of the International Monetary Fund (the “IMF”) completed the regular five-year review of the basket of currencies that make up the Special Drawing Right (the “SDR”), and decided that with effect from October 1, 2016, Renminbi is determined to be a freely usable currency and will be included in the SDR basket as a fifth currency, along with the U.S. dollar, the Euro, the Japanese yen and the British pound. In the fourth quarter of 2016, the Renminbi has depreciated significantly in the backdrop of a surging U.S. dollar and persistent capital outflows of China. With the development of the foreign exchange market and progress towards interest rate liberalization and Renminbi internationalization, the PRC regulatory authority may in the future announce further changes to the exchange rate system and we cannot assure you that the Renminbi will not appreciate or depreciate significantly in value against the U.S. dollar in the future. Since June 2010, the Renminbi has fluctuated against the U.S. dollar, at times significantly and unpredictably. The depreciation of the RMB against the U.S. dollar was approximately 2% and 1% for the years ended December 31, 2023 and 2024, and turned to appreciation of approximately 2% for the year ended December 31, 2025. It is difficult to predict how market forces or the PRC or U.S. government policy may impact the exchange rate between the Renminbi and the U.S. dollar in the future.</w:t>
      </w:r>
    </w:p>
    <w:p>
      <w:pPr>
        <w:spacing w:after="0" w:line="193"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Significant revaluation of the Renminbi may have a material and adverse effect on your investment. For example, to the extent that we need to convert U.S. dollars we receive from our financing activities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 negative effect on the U.S. dollar amount available to us.</w:t>
      </w:r>
    </w:p>
    <w:p>
      <w:pPr>
        <w:spacing w:after="0" w:line="18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spacing w:after="0" w:line="179" w:lineRule="exact"/>
        <w:rPr>
          <w:sz w:val="20"/>
          <w:szCs w:val="20"/>
          <w:color w:val="auto"/>
        </w:rPr>
      </w:pPr>
    </w:p>
    <w:p>
      <w:pPr>
        <w:ind w:right="3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PRC regulation of loans to and direct investment in PRC entities by offshore holding companies and governmental control of currency conversion may restrict or delay us from using the proceeds of the Global Offering to make loans or additional capital contributions to our PRC subsidiaries, which could adversely affect our liquidity and our ability to fund and expand our business.</w:t>
      </w:r>
    </w:p>
    <w:p>
      <w:pPr>
        <w:spacing w:after="0" w:line="15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Any transfer of funds by us to our PRC entities, either as a loan or as an increase in registered capital, are subject to PRC regulations. Capital contributions to our PRC subsidiaries must be (i) registered with the local State Administration for Market Regulation with the information report submitted to the Ministry of Commerce of the PRC (the “MOFCOM”) through the enterprise registration system, and (ii) registered with the local banks authorized by SAFE. Any foreign loan procured by our PRC entities is required to be registered or filed with SAFE or its local branches and any medium or long-term loan to be provided by us to our PRC entities must be registered with the National Development and Reform Commission. We have in the past failed to, and may in the future not be able to, obtain these government approvals or complete such registrations on a timely basis, if at all, with respect to past or future capital contributions or foreign loans by us to our PRC entities. If we fail to receive such approvals or complete such registration or filing, we may subject to legal sanctions, such as regulatory talk, public warning, rectification order, and our ability to use the proceeds of our financing activities and to capitalize our PRC operations may be negatively affected, which could adversely affect our liquidity and our ability to fund and expand our business. There is, in effect, no statutory limit on the amount of capital contribution that we can make to our PRC subsidiaries, provided that the PRC subsidiaries complete the relevant procedures. With respect to loans to the PRC entities by us, (i) if the relevant PRC entities adopt the traditional foreign exchange administration mechanism (the “Current Foreign Debt Mechanism”), the outstanding amount of the loans shall not exceed the difference between the total investment and the registered capital of the PRC entities; and (ii) if the relevant PRC entities adopt the Notice No. 9 Foreign Debt Mechanism, the outstanding amount of the loans shall not exceed 200% of the net asset of the relevant PRC entities.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According to the Notice of the People’s Bank of China on Matters concerning the Macro-Prudential Management of Full-Covered Cross-Border Financing promulgated by the People’s Bank of China on January 12, 2017 (the “PBOC Notice No. 9”) after a transition period of one year since the promulgation of PBOC Notice No. 9, the People’s Bank of China and SAFE will determine the cross-border financing administration mechanism for the foreign-invested enterprises after evaluating the overall implementation of PBOC Notice No.</w:t>
      </w:r>
    </w:p>
    <w:p>
      <w:pPr>
        <w:spacing w:after="0" w:line="3" w:lineRule="exact"/>
        <w:rPr>
          <w:sz w:val="20"/>
          <w:szCs w:val="20"/>
          <w:color w:val="auto"/>
        </w:rPr>
      </w:pPr>
    </w:p>
    <w:p>
      <w:pPr>
        <w:ind w:right="20" w:firstLine="8"/>
        <w:spacing w:after="0" w:line="252" w:lineRule="auto"/>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annual report, neither the People’s Bank of China nor SAFE has promulgated and made public any further rules, regulations, notices or circulars in this regard. It is uncertain which mechanism will be adopted by the People’s Bank of China and SAFE in the future and what statutory limits will be imposed on us when providing loans to our PRC subsidiaries as foreign-invested enterprises. Currently, our foreign-invested entities have the flexibility to choose between the Current Foreign Debt Mechanism and the Notice No. 9 Foreign Debt Mechanism. However, if a more stringent foreign debt mechanism becomes mandatory, our ability to provide loans to our PRC entities may be significantly limited, which may adversely affect our business, financial condition and results of operations.</w:t>
      </w:r>
    </w:p>
    <w:p>
      <w:pPr>
        <w:spacing w:after="0" w:line="188"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Circular on Reforming the Administration of Foreign Exchange Settlement of Capital of Foreign-Invested Enterprises (the “SAFE Circular 19”) effective as of June 1, 2015, as amended by Circular of the State Administration of Foreign Exchange on Reforming and Regulating Policies on the Control over Foreign Exchange Settlement under the Capital Account (the “SAFE Circular 16”) effective on June 9, 2016, allows foreign-invested enterprises (the “FIEs”) to settle their foreign exchange capital at their discretion, but continues to prohibit FIEs from using the Renminbi fund converted from their foreign exchange capitals for expenditure beyond their business scopes, and also prohibit FIEs from using such Renminbi fund to provide loans to persons other than affiliates unless otherwise permitted under its business scope. As a result, SAFE Circular 19 and SAFE Circular 16 may significantly limit our ability to transfer any foreign currency we hold, including the net proceeds from our initial public offering and the concurrent private placements and proceeds from issuance of Class A ordinary shares upon the completion of our Listing, to our PRC entities, which may adversely affect our liquidity and our ability to fund and expand our business in China. Even though the Notice on Further Promoting Cross-border Trade and Investment Facilitation, issued by the SAFE on October 23, 2019, allows all FIEs (including those without an investment business scope) to utilize and convert their foreign exchange capital for making equity investment in China if certain requirements prescribed therein are satisfied, and the Notice of the SAFE on Optimizing Foreign Exchange Administration to Support the Development of Foreign-related Business issued by the SAFE on April 10, 2020, further allows to make domestic payments by using their capital funds, foreign loans and the income under capital accounts of overseas listing without providing the evidentiary materials concerning authenticity of each expenditure in advance, provided that their capital use shall be authentic and conforms to the prevailing administrative regulations on the use of income under capital accounts, since these are relatively new, uncertainties still exist in relation to its interpretation and implementation.</w:t>
      </w:r>
    </w:p>
    <w:p>
      <w:pPr>
        <w:spacing w:after="0" w:line="18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15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M&amp;A Rules adopted by six PRC regulatory agencies in 2006 and amended in 2009, and some other regulations and rules concerning mergers and acquisitions established additional procedures and requirements that could make merger and acquisition activities by foreign investors more time-consuming and complex, including requirements in some instances that the anti-monopoly law enforcement agency be notified in advance of any change-of-control transaction in which a foreign investor takes control of a PRC domestic enterprise.</w:t>
      </w:r>
    </w:p>
    <w:p>
      <w:pPr>
        <w:spacing w:after="0" w:line="183"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In addition, the Circular of the General Office of the State Council on the Establishment of Security Review System for the Merger and Acquisition of Domestic Enterprises by Foreign Investors that became effective in March 2011, and the Rules on Implementation of Security Review System for the Merger and Acquisition of Domestic Enterprises by Foreign Investors issued by the MOFCOM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and the rules prohibit any activities attempting to bypass a security review, including by structuring the transaction through a proxy or contractual control arrangement. The Measures for the Security Review of Foreign Investment promulgated by the NDRC and the MOFCOM and taking effect on January 18, 2021 further requires any foreign investment that has or possibly has an impact on national security be subject to security review. In the future, we may grow our business by acquiring complementary businesses. Complying with the requirements of the above-mentioned regulations and other relevant rules to complete such transactions could be time-consuming, and any required approval processes, including obtaining approval from the State Administration for Market Regulation (the “SAMR”), the MOFCOM or its local counterparts may delay or inhibit our ability to complete such transactions, which could affect our ability to expand our business or maintain our market share.</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PRC regulations relating to the establishment of offshore special purpose companies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w:t>
      </w:r>
    </w:p>
    <w:p>
      <w:pPr>
        <w:spacing w:after="0" w:line="15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SAFE promulgated the Circular on Relevant Issues Relating to Domestic Resident’s Investment and Financing and Roundtrip Investment through Special Purpose Vehicles (the “SAFE Circular 37”) in July 2014. SAFE Circular 37 requires PRC residents or entities to register with SAFE or its local branches in connection with their establishment or control of an offshore entity established for the purpose of overseas investment or financing with such PRC residents or entities’ legally owned assets or equity interests in domestic enterprises or offshore assets or interests. In addition, such PRC residents or entities must update their SAFE registrations when the offshore special purpose vehicle undergoes material events relating to any change of basic information (including change of such PRC citizens or residents, name and operation term), increases or decreases in investment amount, transfers or exchanges of shares, or mergers or divisions. According to the Notice on Further Simplifying and Improving Foreign Exchange Administration Policy on Direct Investment released in February 2015 by SAFE, local banks will examine and handle foreign exchange registration for overseas direct investment, including the initial foreign exchange registration and amendment registration, under SAFE Circular 37 from June 2015. See “Item 4. Information on the Company—4.B. Business Overview—Regulation—Regulations on Foreign Exchange Control and Dividend Distribution—Regulations on Foreign Exchange Registration of Overseas Investment by PRC Residents.”</w:t>
      </w:r>
    </w:p>
    <w:p>
      <w:pPr>
        <w:spacing w:after="0" w:line="190"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If our shareholders who are PRC residents or entities do not complete their registration with the local SAFE branches, our PRC subsidiaries may be prohibited from distributing their profits and proceeds from any reduction in capital, share transfer or liquidation to us, and we may be restricted in our ability to contribute additional capital to our PRC subsidiaries. Moreover, failure to comply with SAFE registration requirements described above could result in liability under PRC laws for evasion of applicable foreign exchange restrictions.</w:t>
      </w:r>
    </w:p>
    <w:p>
      <w:pPr>
        <w:spacing w:after="0" w:line="183"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have notified all PRC residents or entities who directly or indirectly hold shares in our Cayman Islands holding company and who are known to us as being PRC residents to complete the foreign exchange registrations. However, we may not be informed of the identities of all the PRC residents or entities holding direct or indirect interest in our company, nor can we compel our beneficial owners to comply with SAFE registration requirements or continuously comply with all requirements under SAFE Circular 37 or other related rules. As a result, we cannot assure you that all of our shareholders or beneficial owners who are PRC residents or entities have complied with, and will in the future make, obtain or update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spacing w:after="0" w:line="194"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addition, pursuant to the Measures for the Administration of Outbound Investment which was promulgated by the MOFCOM in September 2014 and became effective in October 2014, and the Administrative Measures of Outbound Investment of Enterprises which was promulgated by NDRC in December 2017 and became effective in March 2018, both of which replaced previous rules regarding outbound direct investment by PRC entities, any outbound investment of PRC enterprises is required to be approved by or filed with MOFCOM, NDRC or their local branches.</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Furthermore, the interpretation and implementation of these foreign exchange regulations have been constantly evolving, it is unclear how these regulations, and any future regulation concerning offshore or cross-border transactions, will be interpreted, amended and implemented by the relevant government authorities. For example, we may be subject to a more stringent review and approval process with respect to our foreign exchange activities, such as remittance of dividends and foreign currency denominated borrowings, which may adversely affect our financial condition and results of operations.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59"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Pursuant to SAFE Circular 37, PRC residents who participate in share incentive plans in overseas non-publicly-listed companies may submit applications to SAFE or its local branches for the foreign exchange registration with respect to offshore special purpose companies. In the meantime, our directors, executive officers and other employees who are PRC citizens or who are non-PRC residents residing in the PRC for a continuous period of not less than one year, subject to limited exceptions, and who have been granted share-based awards by us, may follow the Circular on Issues Related to the Foreign Exchange Administration for Domestic Individuals Participating in Stock Incentive Plan of Overseas Listed Company (the “Circular 7”). Pursuant to the Circular 7,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 listed company, and complete certain other procedures. In addition, an overseas entrusted institution must be retained to handle matters in connection with the exercise or sale of stock options and the purchase or sale of shares and interests.</w:t>
      </w:r>
    </w:p>
    <w:p>
      <w:pPr>
        <w:spacing w:after="0" w:line="192"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our directors, our executive officers and other employees who are PRC citizens or who reside in the PRC for a continuous period of not less than one year and who have been granted share-based awards are and will be subject to these regulations. Failure to complete SAFE registration requirements may subject them to fines, and legal sanctions and may also limit our ability to contribute additional capital into our PRC subsidiaries and limit our PRC subsidiaries’ ability to distribute dividends to us. We also face regulatory uncertainties that could restrict our ability to adopt additional incentive plans for our directors, executive officers and employees under PRC law. See “Item 4. Information on the Company—4.B. Business Overview—Regulation—Regulations on Employment and Social Welfare—Employee Stock Incentive Plan.”</w:t>
      </w:r>
    </w:p>
    <w:p>
      <w:pPr>
        <w:spacing w:after="0" w:line="18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State Taxation Administration has issued certain circulars concerning employee share options and restricted shares. Under these circulars, our employees working in China who exercise share options or are granted restricted shares will be subject to PRC individual income tax. Our PRC subsidiaries have obligations to file documents related to employee share options or restricted shares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regulatory authorities. See “Item 4. Information on the Company—4.B. Business Overview—Regulation— Regulations on Employment and Social Welfare—Employee Stock Incentive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fully comply with PRC labor-related laws may expose us to potential penalties.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required by PRC laws and regulations to pay various statutory employee benefits, including pensions, housing fund, medical insurance, work-related injury insurance, unemployment insurance and maternity insurance to designated government agencies for the benefit of our employees. The relevant government agencies may examine whether an employer has made adequate payments of the requisite statutory employee benefits, and employers who fail to make adequate payments may be subject to late payment fees, fines and/or other penalties. Certain of our PRC operating entities failed to promptly make social insurance and housing provident funds in full for some of their employees. In addition, certain of our PRC operating entities that do not currently have any employee were not able to open social insurance and housing fund accounts as required by laws due to the local practice of the regulatory authorities, which only permits enterprises to open accounts after hiring their employees. Certain of our PRC operating entities engaged third-party human resources agencies to pay social insurance and housing provident funds for some of their employees, which may not be viewed as contributions made by us. We might be subject to additional contribution, late payment fee and/or penalties imposed by the relevant authorities if the third-party human resource agencies failed to pay the social insurance or housing provident funds for the relevant employees in full amount and/or in a timely manner, or if the validity of such arrangements are challenged by relevant authorities. We might also be subject to potential labor disputes arising from such arrangements with the relevant employees.</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of the date of this annual report, we have not received any notice or been subject to any administrative penalties or other disciplinary actions from the relevant governmental authorities in relation to the above-mentioned arrangements as to our social insurance and housing provident funds contribution. However, we cannot assure you that the relevant governmental authorities will not require us to pay the shortfall amount and impose late fees or fines, pecuniary penalties or other administrative actions on us. If the relevant PRC authorities determine that we shall make supplemental social insurance and housing fund contributions or that we are subject to fines and legal sanctions in relation to our failure to make social insurance and housing fund contributions in full for our employees, or our practice of engaging third-party agencies to make payments, our business, financial condition and results of operations may be adversely affected.</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addition, the Interim Provisions on Labor Dispatching, which was promulgated by the Ministry of Human Resources and Social Security in January 2014, provides that an employer may use dispatched workers only for temporary, auxiliary or substitute positions, and the number of dispatched workers used by an employer shall not exceed 10% of the total number of its employees. Certain of our PRC operating entities using dispatched workers exceeded the 10% limit, which shall subject us to be required to reduce the number of dispatched workers within the time period specified by the labor authority. Failure to do so would subject us to a penalty ranging from RMB5,000 to RMB10,000 per dispatched worker exceeding the 10% threshold. As a result, we may incur significant costs to find replacement for dispatched workers and experience disruptions in our operations. Furthermore, there can be no assurance that we will be able to find suitable employees to replace the dispatched workers. As of the date of this annual report, we have not received any notice or been subject to any administrative penalties or other disciplinary actions from the labor authority due to the violation of Interim Provisions on Labor Dispatching.</w:t>
      </w:r>
    </w:p>
    <w:p>
      <w:pPr>
        <w:spacing w:after="0" w:line="190"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classified as a “PRC resident enterprise” for PRC enterprise income tax purposes, which could result in unfavorable tax consequences to us and non-PRC holders of the ADSs or ordinary shares and have a material adverse effect on our results of operations and the value of your investment.</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Under the Enterprise Income Tax Law of the PRC and its implementation rules, an enterprise established outside of the PRC with its “de facto management body” within the PRC is considered a “resident enterprise” and will be subject to PRC enterprise income tax on its global income at the rate of 25%. The implementation rules define the term “de facto management body” as the body that exercises full and substantial control over and overall management of the business, personnel, accounts and properties of an enterprise. In April 2009, the State Taxation Administration issued a circular, known as STA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like us, the criteria set forth in the circular may reflect the State Taxation Administration’s general position on how the “de facto management body” test should be applied in determining the tax resident status of all offshore enterprises. According to STA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95"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We believe that neither our company nor any of our subsidiaries established outside of China is a PRC resident enterprise for PRC tax purposes. However, the tax resident status of an enterprise is subject to determination by the PRC tax authorities and uncertainties remain with respect to the interpretation of the term “de facto management body.” As a majority of our management members are based in China, it remains unclear how the tax residency rule will apply to our case. If the PRC tax authorities determine that our company (or any of our subsidiaries outside of China) is a PRC resident enterprise for enterprise income tax purposes, we (or such subsidiaries) may be subject to PRC enterprise income tax on our worldwide income at the rate of 25%, which could materially reduce our net income. In such case we would also be subject to PRC enterprise income tax reporting obligations.</w:t>
      </w:r>
    </w:p>
    <w:p>
      <w:pPr>
        <w:spacing w:after="0" w:line="18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If we are classified as a PRC resident enterprise, we may be required to withhold a 10% withholding tax from dividends we pay to our shareholders that are non-PRC resident enterprises, including the holders of the ADSs. In addition, non-PRC resident enterprise shareholders (including the ADS holders) may be subject to PRC tax at a rate of 10% on gains realized on the sale or other disposition of ADSs or ordinary shares, if such income is treated as sourced from within the PRC. Furthermore, if we are deemed a PRC resident enterprise, dividends paid to our non-PRC resident individual shareholders (including the ADS holders) and any gain realized on the transfer of ADSs or ordinary shares by such shareholders may be subject to PRC tax at a rate of 20% (which, in the case of dividends, may be withheld at source by us), if such gains are deemed to be from PRC sources. These rates may be reduced by an applicable tax treaty, but it is unclear whether in practice non-PRC resident shareholders of our company would be able to obtain the benefits of any tax treaties between their country of tax residence and the PRC in the event that we are treated as a PRC resident enterprise. Any such tax will reduce the returns on your investment in the ADSs or ordinary shares.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transfers of equity interests in PRC resident enterprises by their non-PRC resident holding companies.</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February 3, 2015, the State Taxation Administration issued the Circular on Issues of Enterprise Income Tax on Indirect Transfers of Assets by Non-PRC Resident Enterprises (the “STA Circular 7”). STA Circular 7 extends its tax jurisdiction to transactions involving the transfer of taxable assets by way of the offshore transfer of a foreign intermediate holding company. In addition, STA Circular 7 contains safe harbors for internal group restructurings and the purchase and sale of equity through a public securities market. STA Circular 7 also brings challenges to both the foreign transferor and the transferee (or other person who is obligated to pay for the transfer) of taxable assets.</w:t>
      </w:r>
    </w:p>
    <w:p>
      <w:pPr>
        <w:spacing w:after="0" w:line="187"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On October 17, 2017, the State Taxation Administration issued the Circular on Issues of Withholding of Income Tax of Non-PRC Resident Enterprises at Source (the “STA Circular 37”), which came into effect on December 1, 2017. STA Circular 37 further clarifies the practice and procedure of the withholding of non-PRC resident enterprise income tax.</w:t>
      </w:r>
    </w:p>
    <w:p>
      <w:pPr>
        <w:spacing w:after="0" w:line="17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Where a non-PRC resident enterprise transfers taxable assets indirectly by disposing of the equity interests of an overseas holding company, which is known as an indirect transfer, the non-PRC 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18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face uncertainties as to the reporting and other implications of certain past and future transactions where PRC taxable assets are involved, such as offshore restructuring, sales of the shares in our offshore subsidiaries and investments. Our company may be subject to filing obligations or tax liabilities if our company is the transferor in such transactions, and may be subject to withholding obligations if our company is the transferee in such transactions, under STA Circular 7 or STA Circular 37. For transfer of shares in our company by investors who are non-PRC resident enterprises, our PRC subsidiaries may be requested to assist in the filings required under STA Circular 7 or STA Circular 37. As a result, we may be required to expend valuable resources to comply with STA Circular 7 or STA Circular 37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18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Trading in our securities may be prohibited under the Holding Foreign Companies Accountable Act if the PCAOB determines that it is unable to inspect or investigate completely our auditor, and as a result, U.S. national securities exchanges, such as the Nasdaq, may determine to delist our securities.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independent registered public accounting firm that issues the audit reports included in this annual report, as an auditor of companies that are traded publicly in the United States and a firm registered with the PCAOB, is required by the laws of the United States to undergo regular inspections by the PCAOB to assess its compliance with the laws of the United States and professional standards. Our auditor is located in China, a jurisdiction where the PCAOB was historically unable to conduct inspections and investigations completely, without the approval of the Chinese authorities.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As a result, investors were deprived of the benefits of such PCAOB inspections.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recent years, U.S. regulatory authorities have continued to express their concerns about challenges in their oversight of financial statement audits of U.S.-listed companies with significant operations in China. More recently, as part of a continued regulatory focus in the United States on access to audit and other information currently protected by national law, in particular China’s, the United States enacted the Holding Foreign Companies Accountable Act in December 2020. Trading in our securities on U.S. markets, including the Nasdaq, may be prohibited under the Holding Foreign Companies Accountable Act, as amended by the Consolidated Appropriations Act, 2023 (the “HFCAA”), if the PCAOB determines that it is unable to inspect or investigate completely our auditor for two consecutive years because of the position taken by authorities in a foreign jurisdiction. On December 16, 2021, the PCAOB issued the HFCAA Determination Report to notify the SEC of its determinations that the PCAOB was unable to inspect or investigate completely registered public accounting firms headquartered in mainland China and Hong Kong (the “2021 Determinations”) including our auditor. On December 15, 2022, the PCAOB announced that it was able to conduct inspections and investigations completely of PCAOB-registered public accounting firms headquartered in mainland China and Hong Kong in 2022. The PCAOB vacated its previous 2021 Determinations accordingly. As a result, we do not expect to be identified as a “Commission-Identified Issuer” under the HFCAA unless a new determination is made by the PCAOB.</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However, whether the PCAOB will continue to conduct inspections and investigations completely to its satisfaction of PCAOB-registered public accounting firms headquartered in mainland China and Hong Kong is subject to uncertainty and depends on a number of factors out of our, and our auditor’s, control, including positions taken by authorities of the PRC. The PCAOB is expected to continue to demand complete access to inspections and investigations against accounting firms headquartered in mainland China and Hong Kong in the future. The PCAOB is required under the HFCAA to make its determination on an annual basis with regards to its ability to inspect and investigate completely accounting firms based in the mainland China and Hong Kong. The possibility of being a “Commission-Identified Issuer” and risk of delisting could continue to adversely affect the trading price of our securities.</w:t>
      </w:r>
    </w:p>
    <w:p>
      <w:pPr>
        <w:spacing w:after="0" w:line="18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If the PCAOB determines in the future that it no longer has full access to inspect and investigate accounting firms headquartered in mainland China and Hong Kong and we continue to use such accounting firm to conduct audit work, we would be identified as a “Commission-Identified Issuer” under the HFCAA following the filing of the annual report for the relevant fiscal year. If we were so identified for two consecutive years, trading in our securities on U.S. markets would be prohibited, and U.S. national securities exchanges, such as the Nasdaq, may determine to delist our securities. A delisting of the ADSs would materially and adversely affect the value of the securities and may impact your ability to sell your ADSs.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overseas regulators to conduct investigations or collect evidence within China.</w:t>
      </w:r>
    </w:p>
    <w:p>
      <w:pPr>
        <w:spacing w:after="0" w:line="229"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Shareholder claims or regulatory investigations common in the United States are generally challenging to pursue as a matter of law or practicality in China. For example, in China, there are significant legal and other obstacles to providing the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and the PCAOB has announced that it was able to secure complete access to inspect and investigate PCAOB-registered public accounting firms headquartered in China in 2022 under the China-U.S. audit oversight cooperation (the “China-U.S. Audit Oversight Cooperation”), and such cooperation with the securities regulatory authorities in the United States may not be efficient in the absence of sophisticated practical cooperation mechanism. Furthermore, according to Article 177 of the PRC Securities Law (the “Article 177”), which became effective in March 2020, no overseas securities regulator is allowed to directly conduct investigation or evidence collection activities within the territory of the PRC. While the detailed interpretation of or implementation rules under Article 177 have yet to be promulgated, the inability of an overseas securities regulator to directly conduct investigation or evidence collection activities within China as well as the uncertainty of the enforcement of China-U.S. Audit Oversight Cooperation, may further increase difficulties faced by you in protecting your interests.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Former VIE Structure</w:t>
      </w:r>
    </w:p>
    <w:p>
      <w:pPr>
        <w:spacing w:after="0" w:line="22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PRC regulatory authority determines that the prior contractual arrangements constituting part of the former VIE structure did not comply with PRC regulations, or if these regulations change or are interpreted differently in the future, the ADSs and our Class A ordinary shares may decline in value or become worthless if we are deemed to be unable to assert our contractual control rights over the assets of the former VIEs during the period when the VIE structure existed.</w:t>
      </w:r>
    </w:p>
    <w:p>
      <w:pPr>
        <w:spacing w:after="0" w:line="180"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Pony AI Inc. is a Cayman Islands holding company which does not have any substantive business operations by itself. In China, Pony AI Inc. conducts operations through its PRC subsidiaries. Historically, Pony AI Inc. also operated its business in China through certain contractual arrangements with the former VIEs. These contractual arrangements entered into with the former VIEs allowed Pony AI Inc. to (i) have the power to direct the operation and activities of the former VIEs, (ii) receive substantially all of the economic benefits of the former VIEs, and (iii) have an exclusive option to purchase all or part of the equity interests in the former VIEs when and to the extent permitted by PRC law. These contractual arrangements included the exclusive business cooperation agreements, share pledge agreements, exclusive option agreements, powers of attorney and spousal consents, as the case may be. As a result of these contractual arrangements, for accounting purposes, Pony AI Inc. exerted effective control over, and was considered the primary beneficiary of, the former VIEs and consolidated their operating results in its financial statements under U.S. GAAP for the year ended December 31, 2023. See “Item 4. Information on the Company - 4.A. History and Development of the Company” for further details.</w:t>
      </w:r>
    </w:p>
    <w:p>
      <w:pPr>
        <w:spacing w:after="0" w:line="19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terminated the contractual arrangements among our former WFOEs, the former VIEs and their respective nominee shareholders, and acquired the shares of the former VIEs from their respective nominee shareholders, after which the former VIEs have become wholly-owned subsidiaries of our company since February 2024. Nevertheless, there are uncertainties regarding the interpretation and application of current and future PRC laws, regulations, and rules relating to the agreements that established the former VIE structure for our operations in China, including potential future actions by the PRC regulatory authority, which may retroactively affect the enforceability or legality of our former contractual arrangements with the former VIEs and, consequently, significantly affect the historical financial condition and results of operations of the former VIEs, and our ability to consolidate the results of the former VIEs into our consolidated financial statements for the periods when the VIE structure existed. If the PRC regulatory authority finds such agreements non-compliant with relevant PRC laws, regulations, and rules, or if these laws, regulations, and rules or the interpretation thereof change in the future, and such changes may be retroactively applied to our former contractual arrangements, we could be subject to severe penalties and our control over the former VIEs may be rendered ineffective, which could result in potential restatement of our financial statements for the year ended December 31, 2023 included in this annual report. As a result, the ADSs and our Class A ordinary shares may decline in value or become worthless.</w:t>
      </w:r>
    </w:p>
    <w:p>
      <w:pPr>
        <w:spacing w:after="0" w:line="18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All the agreements under our contractual arrangements were governed by PRC law and provided for the resolution of disputes through arbitration in China. Accordingly, these contracts would be interpreted in accordance with PRC law, and any disputes would be resolved in accordance with PRC legal procedures.</w:t>
      </w:r>
    </w:p>
    <w:p>
      <w:pPr>
        <w:spacing w:after="0" w:line="175"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All the agreements under our prior contractual arrangements were governed by PRC law and provided for the resolution of disputes through arbitration in China. Accordingly, these contracts would be interpreted in accordance with PRC law and any disputes would be resolved in accordance with PRC legal procedures. There remain uncertainties under PRC laws and regulations with respect to the enforceability of our prior contractual arrangements. Meanwhile, there are very few precedents and little formal guidance as to how contractual arrangements in the context of a VIE structure should be interpreted or enforced under PRC law. There remain significant uncertainties regarding the ultimate outcome of such arbitration should legal action become necessary. In addition, under PRC law, rulings by arbitrators are final, parties cannot appeal the arbitration results in courts, and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that any dispute arises with respect to our prior contractual arrangements in which we lose, our control over the former VIEs may be rendered ineffective, which could result in potential restatement of our financial statements for the year ended December 31, 2023 included in this annual report. Consequently, the ADSs and our Class A ordinary shares may decline in value or become worthless.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prior contractual arrangements in relation to the former VIEs may be subject to scrutiny by the PRC tax authorities and they may determine that we or the former VIEs owe additional taxes, which could negatively affect our financial condition and the value of your investment.</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Under applicable PRC laws and regulations, arrangements and transactions among related parties may be subject to audit or challenge by the PRC tax authorities within ten years after the taxable year when the transactions are conducted. We could face material and adverse tax consequences if the PRC tax authorities determine that the prior contractual arrangements between us and the former VIEs were not entered into on an arm’s-length basis in such a way as to result in an impermissible reduction in taxes under applicable PRC laws, rules and regulations, and adjust the income of the former VIEs in the form of a transfer pricing adjustment. A transfer pricing adjustment could, among other things, result in a reduction of expense deductions recorded by the former VIEs for PRC tax purposes, which could in turn increase its tax liabilities without reducing our PRC subsidiaries’ tax expenses. In addition, the PRC tax authorities may impose late payment fees and other penalties on the former VIEs for the adjusted but unpaid taxes according to the applicable regulations. Our financial position could be adversely affected if the former VIEs’ tax liabilities increase or if it is required to pay late payment fees and other penalties.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ADSs and Our Ordinary Shares</w:t>
      </w:r>
    </w:p>
    <w:p>
      <w:pPr>
        <w:spacing w:after="0" w:line="225"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the ADSs and Class A ordinary shares has been and may continue to be volatile, which could result in substantial losses to investors.</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trading price of the ADSs and our Class A ordinary shares has been and may continue to be volatile and could fluctuate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Furthermore, the stock market in general has experienced extreme price and volume fluctuations that have often been unrelated or disproportionate to the operating performance of companies like us. These broad market and industry factors may materially reduce the market price of the ADSs and our Class A ordinary shares, regardless of our operating performance. In addition to market and industry factors, the price and trading volume for the ADSs and our Class A ordinary shares may be highly volatile for factors specific to our own operations, including but not limited to the following:</w:t>
      </w:r>
    </w:p>
    <w:p>
      <w:pPr>
        <w:spacing w:after="0" w:line="19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macro-economic factors in China;</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political or trade tensions between the United States and China;</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variations in our revenues, earnings and cash flows;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announcements of new investments, acquisitions or joint ventures by our competitors or us;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announcements of new offerings, solutions and expansions by our competitors or us;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financial estimates by securities analysts;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detrimental adverse publicity about us, our services, our directors, management or employees, or our industry in general;</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announcements of new regulations, rules or policies relevant to our business;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additions or departures of key personnel;</w:t>
      </w:r>
    </w:p>
    <w:p>
      <w:pPr>
        <w:spacing w:after="0" w:line="224" w:lineRule="exact"/>
        <w:rPr>
          <w:rFonts w:ascii="Arial" w:cs="Arial" w:eastAsia="Arial" w:hAnsi="Arial"/>
          <w:sz w:val="18"/>
          <w:szCs w:val="18"/>
          <w:b w:val="1"/>
          <w:bCs w:val="1"/>
          <w:color w:val="auto"/>
        </w:rPr>
      </w:pPr>
    </w:p>
    <w:p>
      <w:pPr>
        <w:ind w:left="660" w:right="720" w:hanging="328"/>
        <w:spacing w:after="0" w:line="281" w:lineRule="auto"/>
        <w:tabs>
          <w:tab w:leader="none" w:pos="660" w:val="left"/>
        </w:tabs>
        <w:numPr>
          <w:ilvl w:val="0"/>
          <w:numId w:val="2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allegations of a lack of effective internal control over financial reporting, inadequate corporate governance policies, or allegations of fraud, among other things, involving China-based issuers;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major shareholders’ business performance and reputation;</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release of lock-up or other transfer restrictions on our outstanding equity securities or sales of additional equity securities; and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actual or potential litigation or regulatory investigations.</w:t>
      </w:r>
    </w:p>
    <w:p>
      <w:pPr>
        <w:spacing w:after="0" w:line="224"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the ADSs and our Class A ordinary shares will trade.</w:t>
      </w:r>
    </w:p>
    <w:p>
      <w:pPr>
        <w:spacing w:after="0" w:line="158"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adversely change their recommendations regarding the ADSs and our Class A ordinary shares, the market price for the ADSs and our Class A ordinary shares and trading volume could decline.</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trading markets for the ADSs and our Class A ordinary shares depend in part on the research and reports that securities or industry analysts publish about us or our business. If research analysts do not establish and maintain adequate research coverage or if one or more of the analysts who cover us downgrades the ADSs and our Class A ordinary shares or publishes inaccurate or unfavorable research about our business, the market price for the ADSs and our Class A ordinary shares would likely decline. If one or more of these analysts cease coverage of our company or fail to publish reports on us regularly, we could lose visibility in the financial markets, which, in turn, could cause the market price or trading volume for the ADSs and our Class A ordinary shares to decline.</w:t>
      </w:r>
    </w:p>
    <w:p>
      <w:pPr>
        <w:spacing w:after="0" w:line="18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dual-class share structure with different voting rights will limit your ability to influence corporate matters and could discourage others from pursuing any change of control transactions that holders of the ADSs and our Class A ordinary shares may view as beneficial.</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have adopted a dual-class share structure. As a result of our dual-class share structure and the concentration of ownership, certain holders may have considerable influence over matters such as decisions regarding change of directors, mergers, change of control transactions and other significant corporate actions. They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the ADSs and our Class A ordinary shares. This concentrated control will limit your ability to influence corporate matters and could discourage others from pursuing any potential merger, takeover or other change of control transactions that holders of the ADSs and our Class A ordinary shares may view as beneficial.</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Furthermore, certain shareholder advisory firms have announced changes to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dual-class structure of our ordinary shares may prevent the inclusion of the ADSs representing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the ADSs. Any actions or publications by shareholder advisory firms critical of our corporate governance practices or capital structure could also adversely affect the value of the ADSs.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 of the ADSs and our Class A ordinary shares.</w:t>
      </w:r>
    </w:p>
    <w:p>
      <w:pPr>
        <w:spacing w:after="0" w:line="22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the selling of shares in the market.</w:t>
      </w:r>
    </w:p>
    <w:p>
      <w:pPr>
        <w:spacing w:after="0" w:line="18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Public companies that have a material portion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enforcement actions by the SEC or other U.S. authorities.</w:t>
      </w:r>
    </w:p>
    <w:p>
      <w:pPr>
        <w:spacing w:after="0" w:line="18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the ADSs and our Class A ordinary shares could be greatly reduced or even rendered worthless.</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of substantial amounts of the ADSs or our Class A ordinary shares in the public market following the Global Offering could adversely affect the market price of the ADSs or our Class A ordinary shares.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Sales of substantial amounts of the ADSs or our Class A ordinary shares in the public market, or the perception that these sales could occur, could adversely affect the market price of the ADSs or our Class A ordinary shares and could materially impair our ability to raise capital through equity offerings in the future. The ADSs are freely tradable without restriction or further registration under the Securities Act of 1933, as amended (the “Securities Act”) and Shares held by our existing Shareholders may also be sold in the public market in the future subject to the restrictions in Rule 144 and Rule 701 under the Securities Act and the applicable lock-up agreements, including those entered into in connection with the Global Offering. We cannot predict what effect, if any, market sales of securities held by our significant shareholders or any other shareholder or the availability of these securities for future sale will have on the market price of the ADSs or our Class A ordinary shares. In addition, certain holders of our Class A ordinary shares are and may in the future be entitled to certain registration rights. Registration of these shares under the Securities Act would result in these shares becoming freely tradable without restriction under the Securities Act immediately upon the effectiveness of the registration. Sales of these registered shares in the form of ADS in the public market, or the perception that such sales could occur, could cause the price of the ADSs to decline.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an exempted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180"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As a Cayman Islands exempted company listed on the Nasdaq, we are subject to corporate governance listing standards of Nasdaq.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We currently follow our home country practice that: (i) does not require that a majority of our board of directors satisfy the “independence” requirements of Rule 5605 of Nasdaq Stock Market Rules, (ii) does not require each member of our compensation committee and nomination committee to be an independent director, (iii) does not require that director nominees be either selected or recommended by independent directors, (iv) does not necessarily require us to seek shareholder approval prior to the issuance of securities in connection with the acquisition of stock or assets of another company, and (v) does not require us to seek shareholders’ approval for amending our adopted share incentive plans, expect for amendment that require shareholders’ approval under the Hong Kong Listing Rules. As a result of our reliance on the “foreign private issuer” exemptions, our shareholders may be afforded less protection than they otherwise would enjoy under Nasdaq corporate governance listing standards applicable to U.S. domestic issuers. For more information on the specific home country corporate governance practices we follow, please see “Item 16G. Corporate Governance.”</w:t>
      </w:r>
    </w:p>
    <w:p>
      <w:pPr>
        <w:spacing w:after="0" w:line="17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as defined under the Nasdaq corporate governance rules. As a result, we qualify for, and may rely on, exemptions from certain corporate governance requirements that would otherwise provide protection to shareholders of other companies.</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are a “controlled company” as defined under the Nasdaq corporate governance rules because Dr. Jun Peng, our Chief Executive Officer and director, owns more than 50% of our total voting power. For so long as we remain a controlled company, we may rely on certain exemptions from the corporate governance rules, including the rule that we have to establish a nomination committee composed entirely of independent directors. As a result, you will not have the same protection afforded to shareholders of companies that are subject to these corporate governance requirements. Even if we cease to be a controlled company, we may still rely on exemptions available to foreign private issuers, including being able to adopt home country practices in relation to corporate governance matters. See “Item 3. Key Information—3.D. Risk Factors—Risks Related to the ADSs and Our Ordinary Shares—As an exempted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19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officers and principal shareholders have substantial influence over our company and their interests may not be aligned with the interests of our other shareholders.</w:t>
      </w:r>
    </w:p>
    <w:p>
      <w:pPr>
        <w:spacing w:after="0" w:line="15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Our authorized and issued share capital are divided into Class A ordinary shares and Class B ordinary shares. In respect of matters requiring the votes of shareholders, holders of Class A ordinary shares and Class B ordinary shares vote together as a single class except as may otherwise be required by law, and holders of Class A ordinary shares are entitled to one vote per share while holders of Class B ordinary shares are entitled to ten votes per share, subject to Rule 8A.24 of the Hong Kong Listing Rules that requires the reserved matters to be voted on a one vote per share basis. Each Class B ordinary share is convertible into one Class A ordinary share at any time by the holder thereof, while Class A ordinary shares are not convertible into Class B ordinary shares under any circumstances. Subject to the Hong Kong Listing Rules or other applicable laws or regulations, each Class B ordinary share shall be automatically converted into one Class A ordinary share upon the occurrence of any of the events as specified in our currently effective memorandum and articles of association.</w:t>
      </w:r>
    </w:p>
    <w:p>
      <w:pPr>
        <w:spacing w:after="0" w:line="18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our directors and officers collectively owned an aggregate of approximately 70.0% of the total voting power of our issued and outstanding ordinary shares due to the disparate voting powers associated with our dual-class voting structure. As a result, they have substantial influence over our business, including significant corporate actions such as change of directors, mergers, change of control transactions and other significant corporate actions.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80" w:firstLine="324"/>
        <w:spacing w:after="0" w:line="256" w:lineRule="auto"/>
        <w:rPr>
          <w:sz w:val="20"/>
          <w:szCs w:val="20"/>
          <w:color w:val="auto"/>
        </w:rPr>
      </w:pPr>
      <w:r>
        <w:rPr>
          <w:rFonts w:ascii="Times New Roman" w:cs="Times New Roman" w:eastAsia="Times New Roman" w:hAnsi="Times New Roman"/>
          <w:sz w:val="18"/>
          <w:szCs w:val="18"/>
          <w:color w:val="auto"/>
        </w:rPr>
        <w:t>Our directors, offices, and principal shareholders may take actions that are not in the best interest of us or our other shareholders. The concentration of ownership may discourage, delay or prevent a change in control of our company, which could deprive our shareholders of an opportunity to receive a premium for their shares as part of a sale of our company and may reduce the price of the ADSs. These actions may be taken even if they are opposed by shareholders, including those who purchase ADSs in our initial public offering and the concurrent private placements. In addition, the significant concentration of share ownership may adversely affect the trading price of the ADSs due to investors’ perception that conflicts of interest may exist or arise.</w:t>
      </w:r>
    </w:p>
    <w:p>
      <w:pPr>
        <w:spacing w:after="0" w:line="183"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believe we are currently a controlled foreign corporation for U.S. federal income tax purposes, and, as a result, there could be adverse U.S. federal income tax consequences to certain U.S. investors that own the ADSs or Class A ordinary shares (directly or indirectly) and are treated as “Ten Percent Shareholders.”</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Certain direct or indirect “Ten Percent Shareholders” (as defined below) in a non-U.S. corporation that is a controlled foreign corporation (a “CFC”) for U.S. federal income tax purposes generally are required to include in income for U.S. federal income tax purposes their pro rata share of the CFC’s “Subpart F income,” investment of earnings in U.S. property, and “global intangible low-taxed income,” even if the CFC has made no distributions to its shareholders. Subpart F income generally includes dividends, interest, rents, royalties, gains from the sale of securities and income from certain transactions with related parties, and “net CFC tested income” generally consists of net income of the CFC, other than Subpart F income and certain other types of income, in excess of certain thresholds. A non-U.S. corporation generally will be a CFC for U.S. federal income tax purposes if Ten Percent Shareholders own, directly, indirectly or constructively (through attribution), more than 50% of either the total combined voting power of all classes of stock of such corporation entitled to vote or of the total value of the stock of such corporation. A “Ten Percent Shareholder” is a United States person (as defined by the U.S. Internal Revenue Code of 1986, as amended) that owns directly or indirectly, or is considered to own constructively, 10% or more of the total combined voting power of all classes of stock entitled to vote of such corporation or 10% or more of the total value of the stock of such corporation. We believe that we and most of our subsidiaries are currently CFCs and may continue to be CFCs in the future. Investors that are, or may be or become, Ten Percent Shareholders should consult their tax advisers with respect to the potential adverse tax consequences of owning our ADSs or Class A ordinary shares.</w:t>
      </w:r>
    </w:p>
    <w:p>
      <w:pPr>
        <w:spacing w:after="0" w:line="193"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a substantial risk that we were be a passive foreign investment company, or PFIC, for U.S. federal income tax purposes for 2025, and that we will be a PFIC for our current and future taxable years, which could result in adverse U.S. federal income tax consequences to U.S. investors in the ADSs or Class A ordinary shares.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general, a non-U.S. corporation is a PFIC for U.S. federal income tax purposes for any taxable year in which (i) 75% or more of its gross income consists of passive income or (ii) 50% or more of the average value of its assets (generally determined on a quarterly basis) consists of assets that produce, or are held for the production of, passive income. Passive income generally includes dividends, interest, investment gains and certain rents and royalties (other than rents and royalties that are derived in the active conduct of a business and meet certain requirements). Cash and cash equivalents are generally passive assets for these purposes. The value of a company’s goodwill and other intangibles are treated as active assets under the PFIC rules to the extent associated with business activities that produce active income. For purposes of the above calculations, under a look-through rule, a non-U.S. corporation that owns, directly or indirectly, at least 25% by value of the equity interests of another corporation is treated as if it held its proportionate share of the assets of the other corporation and received directly its proportionate share of the income of the other corporation.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Under the PFIC rules, assets are generally measured based on their fair market value. However, if a non-U.S. corporation is a CFC that is not publicly traded, the assets of such non-publicly traded CFC are measured based on their adjusted tax basis, rather than their market value. The measurement rule described in the preceding sentence applies for purposes of determining the CFC’s own PFIC status, as well as the PFIC status of its direct or indirect publicly traded parent. Because certain of our shareholders or their related persons are U.S. persons who are expected to own more than 50% of our voting power, we and most of our subsidiaries are expected to be CFCs. Accordingly, for purposes of the PFIC rules Pony AI Inc.’s own assets will be measured based on their market value, but the assets of Pony AI Inc.’s subsidiaries that are CFCs will be measured by reference to the assets’ adjusted tax basis, if any, which may be significantly lower than the assets’ fair market value. Whether Pony AI Inc. is a PFIC for any taxable year may therefore depend, in part, on the extent to which the total value of our group’s goodwill and other intangible assets are owned by Pony AI Inc., rather than by our subsidiaries that are CFCs. We have not determined the extent to which our goodwill and other intangible assets are owned by Pony AI Inc., and do not maintain calculations of the adjusted tax basis of the assets of our subsidiaries for U.S. federal income tax purposes, which may make it difficult for us or our shareholders to determine whether we were a PFIC for our taxable year ended December 31, 2025 and whether we will be a PFIC for our current taxable year or any future taxable year. If the value of our goodwill and other intangible assets (determined, in large part, by reference to our market capitalization) were allocable in its entirety to Pony AI Inc., we believe we would not be treated as a PFIC for 2025, but as described above there is substantial uncertainty in this respect. Furthermore, even if the value of our assets for purposes of the PFIC asset test is determined in whole or in part by reference to their fair market value, the fair market value of our goodwill and other intangible assets may be determined, in part, by reference to our market capitalization, which has been and may continue to be volatile. Therefore, because we hold a substantial amount of cash, there is a significant risk that we will be a PFIC for the current or future any taxable year if the fair market value of our goodwill and other intangible assets is determined by reference to our market capitalization and our market capitalization remains volatile or declines. Due to these uncertainties, there is a substantial risk that we will be a PFIC for any taxable year under the asset test.</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currently have a substantial amount of investment income and our total gross income may vary from year to year. We may be a PFIC for any taxable year if our investment and other passive income for such taxable year constitutes 75% or more of our total gross income (as determined for U.S. federal income tax purposes) for such taxable year.</w:t>
      </w:r>
    </w:p>
    <w:p>
      <w:pPr>
        <w:spacing w:after="0" w:line="176"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Even if we are not a PFIC for any particular taxable year, we may be a PFIC for any other taxable year since our PFIC status is an annual factual determination that can be made only after the end of that year and will depend on the composition of our income and assets and the value of our assets from time to time.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reasons discussed above, there is a substantial risk that we will be a PFIC for any taxable year.</w:t>
      </w:r>
    </w:p>
    <w:p>
      <w:pPr>
        <w:spacing w:after="0" w:line="225"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during which a U.S. investor owns ADSs or Class A ordinary shares, the U.S. investor generally will be subject to adverse U.S. federal income tax consequences, including increased tax liability on disposition gains and certain “excess distributions” and additional reporting requirements. U.S. investors should consult their tax advisers regarding the application of the PFIC rules to us and the risks of investing in a company that may be a PFIC. See “Item 10. Additional Information— 10.E. Taxation—Material U.S. Federal Income Tax Considerations—Passive Foreign Investment Company Rules.”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increased costs and become subject to additional rules and regulations as a result of being a public company.</w:t>
      </w:r>
    </w:p>
    <w:p>
      <w:pPr>
        <w:spacing w:after="0" w:line="22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We are a public company and expect to continue to incur significant legal, accounting and other expenses that we did not incur as a private company. The Sarbanes-Oxley Act of 2002, as well as rules subsequently implemented by the SEC and Nasdaq, impose various requirements on the corporate governance practices of public companies. We will incur additional costs associated with our public company reporting requirements. It may also be more difficult for us to find qualified persons to serve on our board of directors or as executive officers. In addition, as we have ceased to be an “emerging growth company” as such term is defined in the JOBS Act, we expect to incur significant expenses and devote substantial management effort toward ensuring compliance with the requirements of Section 404 and the other rules and regulations of the SEC. We are currently evaluating and monitoring developments with respect to these rules and regulations, and we cannot predict or estimate with any degree of certainty the number of additional costs we may incur or the timing of such costs.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Shareholders of a public company may from time to time bring securities class action suits against the company following periods of instability in the market price of that company’s securities. Any threatened or actual class-action suits could divert a significant amount of our management’s attention and other resources from our business and operations, which could harm our results of operations and require us to incur significant expenses to defend the suit. Any such class-action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8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the ADSs are limited by the terms of the deposit agreement, and they may not be able to exercise their right to vote for their Class A ordinary shares.</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Holders of the ADSs do not have the same rights as our registered shareholders. As a holder of ADSs, you will not have any direct right to attend general meetings of our shareholders or to cast any votes at such meetings. You will only be able to exercise the voting rights that are carried by the underlying Class A ordinary shares represented by your ADSs indirectly by giving voting instructions to the depositary in accordance with the provisions of the deposit agreement. Under the deposit agreement, you may vote only by giving voting instructions to the depositary. If we instruct the depositary to ask for your instructions, then upon receipt of your voting instructions, the depositary will try, as far as practicable, to vote the underlying Class A ordinary shares represented by your ADSs in accordance with your instructions. If we do not instruct the depositary to ask for your instructions, the depositary may still vote in accordance with the instructions you give, but it is not required to do so. You will not be able to directly exercise your right to vote with respect to the underlying Class A ordinary shares represented by your ADSs unless you withdraw the shares and become the registered holder of such shares prior to the record date for the general meeting. Under our tenth amended and restated memorandum and articles of association, the minimum notice period required to be given by our company to our registered shareholders for convening a general meeting is seven business days.</w:t>
      </w:r>
    </w:p>
    <w:p>
      <w:pPr>
        <w:spacing w:after="0" w:line="190"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When a general meeting is convened, you may not receive sufficient advance notice of the meeting to surrender your ADSs for the purpose of withdrawal of the Class A ordinary shares underlying your ADSs and become the registered holder of such shares to allow you to vote directly with respect to any specific matter or resolution to be considered and voted upon at the general meeting. In addition, under our tenth amended and restated memorandum and articles of association, for the purposes of determining those shareholders who are entitled to attend and vote at any general meeting, our directors may close our register of members and fix in advance a record date for such meeting. Such closure of our register of members or the setting of such a record date may prevent you from surrendering your ADS for the purpose of withdrawing the Class A ordinary shares underlying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have agreed to give the depositary at least 40 days prior notice of shareholder meetings. Nevertheless, we cannot assure you that you will receive the voting materials in time to ensure that you can instruct the depositary to vote the underlying Class A ordinary shares represented by your ADSs. In addition, the depositary and its agents are not responsible for failing to carry out voting instructions or for their manner of carrying out your voting instructions. This means that you may not be able to exercise your right to direct how the Class A ordinary shares underlying your ADSs are voted and you may have no legal remedy if the Class A ordinary shares underlying your ADSs are not voted as you requested.</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the ADSs may not receive dividends or other distributions on our Class A ordinary shares and the ADS holders may not receive any value for them, if it is illegal or impractical to make them available to the ADS holders.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depositary of the ADSs has agreed to pay the ADS holders the cash dividends or other distributions it or the custodian receives on Class A ordinary shares or other deposited securities underlying the ADSs, after deducting its fees and expenses. You will receive these distributions in proportion to the number of Class A ordinary shares the underlying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you may not receive distributions we make on our Class A ordinary shares or any value for them if it is illegal or impractical for us to make them available to you. These restrictions may cause a material decline in the value of the ADSs.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the ADSs may experience dilution of their holdings due to the inability to participate in rights offerings.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expect to pay dividends in the foreseeable future and you must rely on price appreciation of the ADSs for return on your investment.</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to operate and expand our business. As a result, we do not expect to pay any cash dividends in the foreseeable future. Therefore, you should not rely on an investment in the ADSs as a source for any future dividend income.</w:t>
      </w:r>
    </w:p>
    <w:p>
      <w:pPr>
        <w:spacing w:after="0" w:line="176"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We may declare dividends subject to relevant laws of the Cayman Islands and our tenth amended and restated memorandum and articles of association, but no dividend may be declared in excess of the amount recommended by our board of directors. Our tenth amended and restated memorandum and articles of association provide that no dividend or other distribution shall be paid except out of the realized or unrealized profits of our company, out of the share premium account of our company or as otherwise permitted by relevant laws of the Cayman Islands. As a holding company incorporated under the laws of the Cayman Islands, the financial position of accumulated deficit does not prohibit our company from declaring and paying dividends to our shareholders. Dividends may still be declared and paid out of the share premium account notwithstanding the profitability, provided that our tenth amended and restated memorandum and articles of association do not prohibit such payment and our company is able to pay its debts as they fall due in the ordinary course of business immediately after such payment. The declaration of dividends is subject to the discretion of our board of directors. Even if our board of directors decides to declare and pay dividends, the timing, amount and form of future dividends, if any, will depend on our future results of operations and cash flows, our capital requirements and surplus, the amount of distributions, if any, received by us from our subsidiaries, our financial condition, contractual restrictions and other factors deemed relevant by our board of directors. Accordingly, the return on your investment in the ADSs will likely depend entirely upon any future price appreciation of the ADSs. There is no guarantee that the ADSs will appreciate in value or even maintain the price at which you purchased the ADSs. You may not realize a return on your investment in the ADSs and you may even lose your entire investment in the ADSs.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and the sale of additional ADSs or other equity and equity-linked securities could result in additional dilution to our shareholders, and the incurrence of additional indebtedness could increase our debt service obligations.</w:t>
      </w:r>
    </w:p>
    <w:p>
      <w:pPr>
        <w:spacing w:after="0" w:line="15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may require additional cash resources due to changed business conditions, strategic acquisitions or other future developments. If these resources are insufficient to satisfy our cash requirements, we may seek to sell additional equity or debt securities or obtain additional credit facilities. The sale of additional equity and equity-linked securities could result in additional dilution to our shareholders. The sale of substantial amounts of the ADSs (including upon conversion of the notes) could dilute the interests of our shareholders and ADS holders and adversely impact the market price of the ADSs. The incurrence of indebtedness would increase debt service obligations and result in operating and financing covenants that would restrict our operations. We cannot assure you that financing will be available in amounts or on terms acceptable to us, if at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the ADSs may be subject to limitations on the transfer of the ADSs.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shareholders may face difficulties in protecting their interests, and the ability to protect their rights through U.S. courts may be limited because we are incorporated under Cayman Islands law.</w:t>
      </w:r>
    </w:p>
    <w:p>
      <w:pPr>
        <w:spacing w:after="0" w:line="159" w:lineRule="exact"/>
        <w:rPr>
          <w:sz w:val="20"/>
          <w:szCs w:val="20"/>
          <w:color w:val="auto"/>
        </w:rPr>
      </w:pPr>
    </w:p>
    <w:p>
      <w:pPr>
        <w:ind w:right="120" w:firstLine="324"/>
        <w:spacing w:after="0" w:line="252"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Our corporate affairs are governed by our memorandum and articles of association, the Companies Act (as amended)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and Wales,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have a less developed body of securities laws than the United States. Some U.S. states, such as Delaware, have more fully developed and judicially interpreted bodies of corporate law than the Cayman Islands. In addition, Cayman Islands companies may not have the standing to initiate a shareholder derivative action in a federal court of the United States. Moreover, while under Delaware law, controlling shareholders owe fiduciary duties to the companies they control and their minority shareholders, under Cayman Islands law, our controlling shareholders do not owe any such fiduciary duties to our company or to our minority shareholders. Accordingly, our controlling shareholders may exercise their powers as shareholders, including the exercise of voting rights in respect of their shares, in such manner as they think fit.</w:t>
      </w:r>
    </w:p>
    <w:p>
      <w:pPr>
        <w:spacing w:after="0" w:line="19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(other than the memorandum and articles of association, the register of mortgages and charges and any special resolutions passed by shareholders)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7"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7"/>
          <w:szCs w:val="17"/>
          <w:color w:val="auto"/>
        </w:rPr>
        <w:t>Certain corporate governance practices in the Cayman Islands, which is our home country, differ significantly from requirements for companies incorporated in other jurisdictions such as the United States. As we choose to follow certain home country practices, our shareholders are afforded less protection than they otherwise would under rules and regulations applicable to U.S. domestic issuers. For more information on the specific home country corporate governance practices we follow, please see “Item 16G. Corporate Governance.”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our management, members of the board of directors or controlling shareholders than they would as public shareholders of a company incorporated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rights to pursue claims against the depositary as a holder of ADSs are limited by the terms of the deposit agreement.</w:t>
      </w:r>
    </w:p>
    <w:p>
      <w:pPr>
        <w:spacing w:after="0" w:line="229" w:lineRule="exact"/>
        <w:rPr>
          <w:sz w:val="20"/>
          <w:szCs w:val="20"/>
          <w:color w:val="auto"/>
        </w:rPr>
      </w:pPr>
    </w:p>
    <w:p>
      <w:pPr>
        <w:ind w:right="80" w:firstLine="324"/>
        <w:spacing w:after="0" w:line="281" w:lineRule="auto"/>
        <w:rPr>
          <w:sz w:val="20"/>
          <w:szCs w:val="20"/>
          <w:color w:val="auto"/>
        </w:rPr>
      </w:pPr>
      <w:r>
        <w:rPr>
          <w:rFonts w:ascii="Times New Roman" w:cs="Times New Roman" w:eastAsia="Times New Roman" w:hAnsi="Times New Roman"/>
          <w:sz w:val="17"/>
          <w:szCs w:val="17"/>
          <w:color w:val="auto"/>
        </w:rPr>
        <w:t>Under the deposit agreement, any action or proceeding against or involving the depositary, arising out of or based upon the deposit agreement or the transactions contemplated thereby or by virtue of owning the ADSs may only be instituted in a state or federal court in New York, New York, and you, as a holder of the ADSs, will have irrevocably waived any objection which you may have to the laying of venue of any such proceeding, and irrevocably submitted to the exclusive jurisdiction of such courts in any such action or proceeding.</w:t>
      </w:r>
    </w:p>
    <w:p>
      <w:pPr>
        <w:spacing w:after="0" w:line="164"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depositary may, in its sole discretion, require that any dispute or difference arising from the relationship created by the deposit agreement be referred to and finally settled by an arbitration conducted under the terms described in the deposit agreement, although the arbitration provisions do not preclude you from pursuing claims under the Securities Act or the Exchange Act in state or federal courts. See “Item. 12 Description of Securities Other Than Equity Securities—12.D. American Depositary Shares” for more information.</w:t>
      </w:r>
    </w:p>
    <w:p>
      <w:pPr>
        <w:spacing w:after="0" w:line="1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5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deposit agreement governing the ADSs representing our Class A ordinary shares provides that, subject to the depositary’s right to require a claim to be submitted to arbitration, the federal or state courts in the City of New York have exclusive jurisdiction to hear and determine claims arising under the deposit agreement and in that regard, to the fullest extent permitted by law, ADS holders waive the right to a jury trial for any claim they may have against us or the depositary arising out of or relating to our shares, the ADSs or the deposit agreement, including any claim under the U.S. federal securities laws.</w:t>
      </w:r>
    </w:p>
    <w:p>
      <w:pPr>
        <w:spacing w:after="0" w:line="183" w:lineRule="exact"/>
        <w:rPr>
          <w:sz w:val="20"/>
          <w:szCs w:val="20"/>
          <w:color w:val="auto"/>
        </w:rPr>
      </w:pPr>
    </w:p>
    <w:p>
      <w:pPr>
        <w:ind w:right="140" w:firstLine="324"/>
        <w:spacing w:after="0" w:line="272" w:lineRule="auto"/>
        <w:rPr>
          <w:sz w:val="20"/>
          <w:szCs w:val="20"/>
          <w:color w:val="auto"/>
        </w:rPr>
      </w:pPr>
      <w:r>
        <w:rPr>
          <w:rFonts w:ascii="Times New Roman" w:cs="Times New Roman" w:eastAsia="Times New Roman" w:hAnsi="Times New Roman"/>
          <w:sz w:val="17"/>
          <w:szCs w:val="17"/>
          <w:color w:val="auto"/>
        </w:rPr>
        <w:t>If we or the depositary were to oppose a jury trial based on this waiver, the court would have to determine whether the waiver was enforceable based on the facts and circumstances of the case in accordance with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courts will generally consider whether a party knowingly, intelligently and voluntarily waived the right to a jury trial. We believe that this would be the case with respect to the deposit agreement and the ADSs. It is advisable that you consult legal counsel regarding the jury waiver provision before investing in the ADSs.</w:t>
      </w:r>
    </w:p>
    <w:p>
      <w:pPr>
        <w:spacing w:after="0" w:line="17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holders or beneficial owners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including outcomes that could be less favorable to the plaintiff(s) in any such action.</w:t>
      </w:r>
    </w:p>
    <w:p>
      <w:pPr>
        <w:spacing w:after="0" w:line="18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Nevertheless, if this jury trial waiver is not permitted by applicable law, an action could proceed under the terms of the deposit agreement with a jury trial. No condition, stipulation or provision of the deposit agreement or the ADSs shall relieve us or the depositary from our respective obligations to comply with the Securities Act and the Exchange Act.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currently effective memorandum and articles of association contain anti-takeover provisions that could have a material adverse effect on the rights of holders of our ordinary shares and the ADSs.</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currently effective amended and restated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For example, subject to certain limitations and conditions,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Class A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ADSs may be materially and adversely affected. In addition, our currently effective amended and restated memorandum and articles of association contain other provisions that could limit the ability of third parties to acquire control of our company or cause us to engage in a transaction resulting in a change of control, including a provision that entitles each Class B ordinary share to 10 votes in respect of almost all matters subject to a shareholders’ vote.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substance legislation of the Cayman Islands may impact us or our operations.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Cayman Islands, together with several other non-European Union jurisdictions, have introduced legislation aimed at addressing concerns raised by the Council of the European Union as to offshore structures engaged in certain activities which attract profits without real economic activity. Effective January 1, 2019, the International Tax Co-operation (Economic Substance) Act (as amended) (the “Substance Law”) and issued Regulations and Guidance Notes came into force in the Cayman Islands introducing certain economic substance requirements for “relevant entities” which are engaged in certain “relevant activities,” which in the case of exempted companies incorporated before January 1, 2019, will apply in respect of fiscal years commencing July 1, 2019, onwards. A “relevant entity” includes an exempted company incorporated in the Cayman Islands; however, it does not include an entity that is tax resident outside the Cayman Islands. Accordingly, for so long as we are a tax resident outside the Cayman Islands, we are not required to satisfy the economic substance test under the Substance Law. Although it is presently anticipated that the Substance Law will have little material impact on us or our operations, as the legislation remains subject to further clarification and interpretation it is not currently possible to ascertain the precise impact of these legislative changes on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costs and expenses.</w:t>
      </w:r>
    </w:p>
    <w:p>
      <w:pPr>
        <w:spacing w:after="0" w:line="229" w:lineRule="exact"/>
        <w:rPr>
          <w:sz w:val="20"/>
          <w:szCs w:val="20"/>
          <w:color w:val="auto"/>
        </w:rPr>
      </w:pPr>
    </w:p>
    <w:p>
      <w:pPr>
        <w:ind w:right="40" w:firstLine="324"/>
        <w:spacing w:after="0" w:line="269" w:lineRule="auto"/>
        <w:rPr>
          <w:sz w:val="20"/>
          <w:szCs w:val="20"/>
          <w:color w:val="auto"/>
        </w:rPr>
      </w:pPr>
      <w:r>
        <w:rPr>
          <w:rFonts w:ascii="Times New Roman" w:cs="Times New Roman" w:eastAsia="Times New Roman" w:hAnsi="Times New Roman"/>
          <w:sz w:val="17"/>
          <w:szCs w:val="17"/>
          <w:color w:val="auto"/>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We would lose our foreign private issuer status if, for example, more than 50% of our ordinary shares are directly or indirectly held by residents of the U.S. and we fail to meet additional requirements necessary to maintain our foreign private issuer status. In the future, if we lose our foreign private issuer status as of the last date of our second fiscal quarter, we would be required to file with the SEC periodic reports and registration statements on U.S. domestic issuer forms beginning on the following January 1, which are more detailed and extensive than the forms available to a foreign private issuer. We would also have to mandatorily comply with U.S. federal proxy requirements, and our principal shareholders would become subject to the short-swing profit disclosure and recovery provisions of Section 16 of the Exchange Act. In addition, we would lose our ability to rely upon exemptions from certain corporate governance requirements under the Nasdaq listing rules. As a U.S. listed public company that is not a foreign private issuer, we would incur significant additional legal, accounting and other expenses that we will not incur as a foreign private issuer, and accounting, reporting and other expenses in order to maintain a listing on a U.S. securities exchange.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Dual Listing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characteristics of the U.S. capital markets and the Hong Kong capital markets are different.</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are subject to the Hong Kong Stock Exchange and the Nasdaq listing and regulatory requirements concurrently. The Nasdaq and the Hong Kong Stock Exchange have different trading hours, trading characteristics (including trading volume and liquidity), trading and listing rules, and investor bases (including different levels of retail and institutional participation). As a result of these differences, the trading prices of our Class A ordinary shares and the ADSs representing them might not be the same, even allowing for currency differences. Fluctuations in the price of our Class A ordinary shares due to circumstances peculiar to its home capital market could materially and adversely affect the price of the ADSs.</w:t>
      </w:r>
    </w:p>
    <w:p>
      <w:pPr>
        <w:spacing w:after="0" w:line="18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uncertainty as to whether Hong Kong stamp duty will apply to the trading or conversion of the ADSs following our initial public offering in Hong Kong and listing of our Class A ordinary shares on the Stock Exchange.</w:t>
      </w:r>
    </w:p>
    <w:p>
      <w:pPr>
        <w:spacing w:after="0" w:line="15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our initial public offering of Class A ordinary shares in Hong Kong, or the Hong Kong Public Offering, in November 2025, we have established a branch register of members in Hong Kong, or the Hong Kong share register. Our Class A ordinary shares that are traded on the Hong Kong Stock Exchange are registered on the Hong Kong share register, and the trading of these Shares on the Stock Exchange is subject to the Hong Kong stamp duty. To facilitate ADS-Class A ordinary shares conversion and trading between the Nasdaq and the Stock Exchange, we have moved and may move a portion of our issued Class A ordinary shares from our register of members maintained in the Cayman Islands to our Hong Kong share register from time to time.</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Under the Hong Kong Stamp Duty Ordinance, any person who effects any sale or purchase of Hong Kong stock, defined as stock the transfer of which is required to be registered in Hong Kong, is required to pay Hong Kong stamp duty. The stamp duty is currently set at a total rate of 0.2% of the greater of the consideration for, or the value of, shares transferred, with 0.1% payable by each of the buyer and the seller.</w:t>
      </w:r>
    </w:p>
    <w:p>
      <w:pPr>
        <w:spacing w:after="0" w:line="180"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To the best of our knowledge, Hong Kong stamp duty has not been levied in practice on the trading or conversion of ADSs of companies that are listed in both the United States and Hong Kong and that have maintained all or a portion of their shares, including shares represented by ADSs, in their Hong Kong share registers. However, it is unclear whether, as a matter of Hong Kong law, the trading or conversion of ADSs of these dual-listed companies constitutes a sale or purchase of the underlying shares held on the Hong Kong share register that is subject to Hong Kong stamp duty. We advise investors to consult their own tax advisors on this matter. If Hong Kong stamp duty is determined by the competent authority to apply to the trading or conversion of the ADSs, the trading price and the value of your investment in our Class A ordinary shares and/or the ADSs may be affected.</w:t>
      </w:r>
    </w:p>
    <w:p>
      <w:pPr>
        <w:spacing w:after="0" w:line="1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deposit of our Class A ordinary shares for delivery of ADSs and the surrender of ADSs for cancelation and withdrawal of our Class A ordinary shares may adversely affect the liquidity or trading price of our securities.</w:t>
      </w:r>
    </w:p>
    <w:p>
      <w:pPr>
        <w:spacing w:after="0" w:line="1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ADSs are currently traded on the Nasdaq. Subject to compliance with U.S. securities laws and the terms of the deposit agreement, holders of our Class A ordinary shares may deposit Class A ordinary shares with the depositary for delivery of ADSs. Any holder of ADSs may also withdraw the underlying Class A ordinary shares represented by the ADSs pursuant to the terms of the deposit agreement for trading on the Hong Kong Stock Exchange. In the event that a substantial number of Class A ordinary shares are deposited with the depositary for delivery of ADSs or that a substantial number of ADSs are surrendered for cancelation and withdrawal of our Class A ordinary shares, the liquidity and trading price of our Class A ordinary shares on the Hong Kong Stock Exchange and the ADSs on the Nasdaq may be adversely affected.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time required for the deposit of our Class A ordinary shares for delivery of ADSs and the surrender of ADSs for cancelation and withdrawal of our Class A ordinary shares might be longer than expected and investors might not be able to settle or effect any sale of their securities during this period, and such actions may involve costs.</w:t>
      </w:r>
    </w:p>
    <w:p>
      <w:pPr>
        <w:spacing w:after="0" w:line="175"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There is no direct trading or settlement between the Nasdaq and the Hong Kong Stock Exchange on which the ADSs and our Class A ordinary shares are respectively traded. In addition, the time differences between Hong Kong and New York, unforeseen market circumstances, or other factors may delay the deposit of Class A ordinary shares for delivery of the ADSs or the surrender of ADSs for cancelation and withdrawal of our Class A ordinary shares. Investors will be prevented from settling or effecting the sale of their securities during such periods of delay. In addition, we cannot assure you that any deposit of our Class A ordinary shares for delivery of ADSs or surrender of ADSs for cancelation and withdrawal of our Class A ordinary shares will be completed in accordance with the timelines that investors may anticipate.</w:t>
      </w:r>
    </w:p>
    <w:p>
      <w:pPr>
        <w:spacing w:after="0" w:line="18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Furthermore, the depositary for the ADSs is entitled to charge holders fees for various services including for the issuance of ADSs upon deposit of Class A ordinary shares, cancelation of ADSs, distributions of cash dividends or other cash distributions, distributions of ADSs pursuant to share dividends or other free share distributions, distributions of securities other than ADSs, and annual service fees. As a result, shareholders who deposit Class A ordinary shares for delivery of ADSs or surrender ADSs for cancelation and withdrawal of our Class A ordinary shares may not achieve the level of economic return they may anticipate.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Companies that have experienced volatility in the volume and market price of their shares have been subject to an increased incidence of securities class action litigation. We may be the target of this type of litigation in the future. Securities litigation against us could result in substantial costs and divert our management’s attention from other business concerns, and, if adversely determined, could have a material adverse effect on our business, financial condition and results of operations.</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INFORMATION ON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4.A. History and Development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History</w:t>
      </w:r>
    </w:p>
    <w:p>
      <w:pPr>
        <w:spacing w:after="0" w:line="22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Pony AI Inc. (the “Company”) was incorporated in November 2016 as an exempted company with limited liability in the Cayman Islands. In the same month, we incorporated Pony.AI, Inc., a Delaware corporation. We then commenced our U.S. operations in Silicon Valley, California through Pony.AI, Inc.</w:t>
      </w:r>
    </w:p>
    <w:p>
      <w:pPr>
        <w:spacing w:after="0" w:line="176" w:lineRule="exact"/>
        <w:rPr>
          <w:sz w:val="20"/>
          <w:szCs w:val="20"/>
          <w:color w:val="auto"/>
        </w:rPr>
      </w:pPr>
    </w:p>
    <w:p>
      <w:pPr>
        <w:ind w:right="800" w:firstLine="324"/>
        <w:spacing w:after="0" w:line="282" w:lineRule="auto"/>
        <w:rPr>
          <w:sz w:val="20"/>
          <w:szCs w:val="20"/>
          <w:color w:val="auto"/>
        </w:rPr>
      </w:pPr>
      <w:r>
        <w:rPr>
          <w:rFonts w:ascii="Times New Roman" w:cs="Times New Roman" w:eastAsia="Times New Roman" w:hAnsi="Times New Roman"/>
          <w:sz w:val="18"/>
          <w:szCs w:val="18"/>
          <w:color w:val="auto"/>
        </w:rPr>
        <w:t>In December 2016, Hongkong Pony AI Limited (“Hongkong Pony AI”), a wholly-owned subsidiary of the Company, was incorporated under the laws of Hong Kong.</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April 2017, Beijing (HX) Pony AI Technology Co., Ltd. (“Beijing (HX) Pony”), was incorporated in the PRC. Beijing (HX) Pony is currently a wholly-owned subsidiary of Hongkong Pony AI.</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January 2018, Guangzhou (HX) Pony AI Technology Co., Ltd. (“Guangzhou (HX) Pony”), was incorporated in the PRC.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Guangzhou (HX) Pony is currently a wholly-owned subsidiary of Hongkong Pony AI.</w:t>
      </w:r>
    </w:p>
    <w:p>
      <w:pPr>
        <w:spacing w:after="0" w:line="207"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In June 2019, Beijing (YX) Pony AI Technology Co., Ltd. (“Beijing (YX) Pony”) was incorporated in the PRC. Beijing (YX) Pony is currently a wholly-owned subsidiary of Hongkong Pony AI.</w:t>
      </w:r>
    </w:p>
    <w:p>
      <w:pPr>
        <w:spacing w:after="0" w:line="162"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In April 2021, Shenzhen (YX) Pony AI Technology Co., Ltd. (“Shenzhen (YX) Pony”) was incorporated in the PRC. Shenzhen (YX) Pony is currently a wholly-owned subsidiary of Hongkong Pony AI.</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In March 2022, Shanghai (ZX) Pony AI Technology Development Co., Ltd. (“Shanghai (ZX) Pony”) was incorporated in the PRC, which is a wholly-owned subsidiary of Hongkong Pony AI.</w:t>
      </w:r>
    </w:p>
    <w:p>
      <w:pPr>
        <w:spacing w:after="0" w:line="162" w:lineRule="exact"/>
        <w:rPr>
          <w:sz w:val="20"/>
          <w:szCs w:val="20"/>
          <w:color w:val="auto"/>
        </w:rPr>
      </w:pPr>
    </w:p>
    <w:p>
      <w:pPr>
        <w:jc w:val="both"/>
        <w:ind w:right="60" w:firstLine="324"/>
        <w:spacing w:after="0" w:line="257" w:lineRule="auto"/>
        <w:rPr>
          <w:sz w:val="20"/>
          <w:szCs w:val="20"/>
          <w:color w:val="auto"/>
        </w:rPr>
      </w:pPr>
      <w:r>
        <w:rPr>
          <w:rFonts w:ascii="Times New Roman" w:cs="Times New Roman" w:eastAsia="Times New Roman" w:hAnsi="Times New Roman"/>
          <w:sz w:val="18"/>
          <w:szCs w:val="18"/>
          <w:color w:val="auto"/>
        </w:rPr>
        <w:t>Beijing (HX) Pony and Hongkong Pony AI entered into a series of contractual arrangements, as amended and restated, with Beijing (ZX) Pony and its shareholders, through which we obtained control over Beijing (ZX) Pony and its subsidiaries. In addition, Guangzhou (HX) Pony and Hongkong Pony AI entered into a series of contractual arrangements, as amended and restated, with Guangzhou (ZX)</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Pony and its shareholders, through which we obtained control over Guangzhou (ZX) Pony and its subsidiaries. Pony AI Inc. operated its businesses this way primarily in order to preserve the flexibility to engage in businesses that are subject to foreign investment restrictions under applicable PRC laws and regulations.</w:t>
      </w:r>
    </w:p>
    <w:p>
      <w:pPr>
        <w:spacing w:after="0" w:line="18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As a result, we were regarded as the primary beneficiary of Beijing (ZX) Pony, Guangzhou (ZX) Pony and their subsidiaries. For financial reporting purposes, we consolidated the operation results and financial position of the former VIEs in accordance with U.S. GAAP. We refer to each of Beijing (HX) Pony and Guangzhou (HX) Pony as our wholly foreign owned entity (“former WFOE”), and to each of Beijing (ZX) Pony and Guangzhou (ZX) Pony and their subsidiaries as the consolidated variable interest entity (“former VIE” or “former VIE Entity”) in this annual report.</w:t>
      </w:r>
    </w:p>
    <w:p>
      <w:pPr>
        <w:spacing w:after="0" w:line="183"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terminated the contractual arrangements among our former WFOEs, the former VIEs and their respective nominee shareholders, and acquired the shares of the former VIEs from their respective nominee shareholders, after which the former VIEs have become wholly-owned subsidiaries of our company since February 2024.</w:t>
      </w:r>
    </w:p>
    <w:p>
      <w:pPr>
        <w:spacing w:after="0" w:line="17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In September 2024, PONY.AI EUROPE S.à r.l. was incorporated in Luxembourg. PONY.AI EUROPE S.à r.l. is currently a wholly-owned subsidiary of Pony AI Inc.</w:t>
      </w:r>
    </w:p>
    <w:p>
      <w:pPr>
        <w:spacing w:after="0" w:line="162"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In April 2025, Pony AI – FZCO was incorporated in the United Arab Emirates. Pony AI – FZCO is currently a wholly-owned subsidiary of Hongkong Pony AI.</w:t>
      </w:r>
    </w:p>
    <w:p>
      <w:pPr>
        <w:spacing w:after="0" w:line="16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 May 2025, Company Pony AI was incorporated in Saudi Arabia. Company Pony AI is currently a wholly-owned subsidiary of Hongkong Pony AI.</w:t>
      </w:r>
    </w:p>
    <w:p>
      <w:pPr>
        <w:spacing w:after="0" w:line="175" w:lineRule="exact"/>
        <w:rPr>
          <w:sz w:val="20"/>
          <w:szCs w:val="20"/>
          <w:color w:val="auto"/>
        </w:rPr>
      </w:pPr>
    </w:p>
    <w:p>
      <w:pPr>
        <w:ind w:right="12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 November, 2025, PONY.AI </w:t>
      </w:r>
      <w:r>
        <w:rPr>
          <w:rFonts w:ascii="SimSun" w:cs="SimSun" w:eastAsia="SimSun" w:hAnsi="SimSun"/>
          <w:sz w:val="18"/>
          <w:szCs w:val="18"/>
          <w:color w:val="auto"/>
        </w:rPr>
        <w:t>株式会社</w:t>
      </w:r>
      <w:r>
        <w:rPr>
          <w:rFonts w:ascii="Times New Roman" w:cs="Times New Roman" w:eastAsia="Times New Roman" w:hAnsi="Times New Roman"/>
          <w:sz w:val="18"/>
          <w:szCs w:val="18"/>
          <w:color w:val="auto"/>
        </w:rPr>
        <w:t xml:space="preserve"> was incorporated in Japan. PONY.AI </w:t>
      </w:r>
      <w:r>
        <w:rPr>
          <w:rFonts w:ascii="SimSun" w:cs="SimSun" w:eastAsia="SimSun" w:hAnsi="SimSun"/>
          <w:sz w:val="18"/>
          <w:szCs w:val="18"/>
          <w:color w:val="auto"/>
        </w:rPr>
        <w:t>株式会社</w:t>
      </w:r>
      <w:r>
        <w:rPr>
          <w:rFonts w:ascii="Times New Roman" w:cs="Times New Roman" w:eastAsia="Times New Roman" w:hAnsi="Times New Roman"/>
          <w:sz w:val="18"/>
          <w:szCs w:val="18"/>
          <w:color w:val="auto"/>
        </w:rPr>
        <w:t xml:space="preserve"> is currently a wholly-owned subsidiary of Pony AI Inc.</w:t>
      </w:r>
    </w:p>
    <w:p>
      <w:pPr>
        <w:spacing w:after="0" w:line="198"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On November 6, 2025, Hong Kong time, our Class A ordinary shares commenced trading on the Main Board of the Hong Kong Stock Exchange under the stock code “2026.” We raised from our global offering in connection with the listing in Hong Kong approximately HK$6,454.4 million in net proceeds after deducting underwriting commissions, fees and the offering expenses.</w:t>
      </w:r>
    </w:p>
    <w:p>
      <w:pPr>
        <w:spacing w:after="0" w:line="17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In February 2026, Shanghai (HX) Pony AI Technology Co., Ltd. was incorporated in the PRC, which is a wholly-owned subsidiary of Hongkong Pony AI.</w:t>
      </w:r>
    </w:p>
    <w:p>
      <w:pPr>
        <w:spacing w:after="0" w:line="16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In March 2026, Zhejiang (YX) Pony AI Technology Co., Ltd. and Hunan (YX) Pony AI Technology Co., Ltd. were incorporated in the PRC, each of which is a wholly-owned subsidiary of Hongkong Pony 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4.B. Business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Pony is a leader in achieving large-scale commercialization of autonomous mobility.</w:t>
      </w:r>
    </w:p>
    <w:p>
      <w:pPr>
        <w:spacing w:after="0" w:line="225"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Starting from scratch and bringing our technology to people’s lives is by itself a testament to our commitment to autonomous mobility. Yet the progress we have made to date is what sets Pony apart from our peers:</w:t>
      </w:r>
    </w:p>
    <w:p>
      <w:pPr>
        <w:spacing w:after="0" w:line="162" w:lineRule="exact"/>
        <w:rPr>
          <w:sz w:val="20"/>
          <w:szCs w:val="20"/>
          <w:color w:val="auto"/>
        </w:rPr>
      </w:pPr>
    </w:p>
    <w:p>
      <w:pPr>
        <w:jc w:val="both"/>
        <w:ind w:left="660" w:hanging="328"/>
        <w:spacing w:after="0" w:line="265" w:lineRule="auto"/>
        <w:tabs>
          <w:tab w:leader="none" w:pos="66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were among the first in China to secure licenses for fully driverless robotaxi operations across all four Tier-1 cities in China (namely Beijing, Shanghai, Guangzhou and Shenzhen). In addition, we are also the first company in China to receive regulatory approval for driverless robotruck platooning tests on cross-provincial highways.</w:t>
      </w:r>
    </w:p>
    <w:p>
      <w:pPr>
        <w:spacing w:after="0" w:line="177" w:lineRule="exact"/>
        <w:rPr>
          <w:rFonts w:ascii="Arial" w:cs="Arial" w:eastAsia="Arial" w:hAnsi="Arial"/>
          <w:sz w:val="18"/>
          <w:szCs w:val="18"/>
          <w:b w:val="1"/>
          <w:bCs w:val="1"/>
          <w:color w:val="auto"/>
        </w:rPr>
      </w:pPr>
    </w:p>
    <w:p>
      <w:pPr>
        <w:ind w:left="660" w:right="340" w:hanging="328"/>
        <w:spacing w:after="0" w:line="265" w:lineRule="auto"/>
        <w:tabs>
          <w:tab w:leader="none" w:pos="66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As of March 31, 2026, we operated a fleet of over </w:t>
      </w:r>
      <w:r>
        <w:rPr>
          <w:rFonts w:ascii="Times New Roman" w:cs="Times New Roman" w:eastAsia="Times New Roman" w:hAnsi="Times New Roman"/>
          <w:sz w:val="18"/>
          <w:szCs w:val="18"/>
          <w:color w:val="231F20"/>
        </w:rPr>
        <w:t>1,400</w:t>
      </w:r>
      <w:r>
        <w:rPr>
          <w:rFonts w:ascii="Times New Roman" w:cs="Times New Roman" w:eastAsia="Times New Roman" w:hAnsi="Times New Roman"/>
          <w:sz w:val="18"/>
          <w:szCs w:val="18"/>
          <w:color w:val="auto"/>
        </w:rPr>
        <w:t xml:space="preserve"> robotaxis, which has accumulated over 65.0 million kilometers of autonomous driving mileage cumulatively. Following our recent expansion into Croatia, Hangzhou and Changsha in March 2026, we are on track to deploy over 3,000 Robotaxis in more than 20 cities globally by the end of 2026.</w:t>
      </w:r>
    </w:p>
    <w:p>
      <w:pPr>
        <w:spacing w:after="0" w:line="177" w:lineRule="exact"/>
        <w:rPr>
          <w:rFonts w:ascii="Arial" w:cs="Arial" w:eastAsia="Arial" w:hAnsi="Arial"/>
          <w:sz w:val="18"/>
          <w:szCs w:val="18"/>
          <w:b w:val="1"/>
          <w:bCs w:val="1"/>
          <w:color w:val="auto"/>
        </w:rPr>
      </w:pPr>
    </w:p>
    <w:p>
      <w:pPr>
        <w:ind w:left="660" w:right="100" w:hanging="328"/>
        <w:spacing w:after="0" w:line="260" w:lineRule="auto"/>
        <w:tabs>
          <w:tab w:leader="none" w:pos="66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have formed a joint venture with Toyota and GTMC to advance the mass production and large- scale deployment of fully driverless robotaxis in China under the joint deployment model. In addition, we have partnered with other leading OEMs, such as BAIC, GAC and SAIC, to leverage their mature supply chain and after-sales network and jointly deploy vehicles in the overseas markets.</w:t>
      </w:r>
    </w:p>
    <w:p>
      <w:pPr>
        <w:spacing w:after="0" w:line="182" w:lineRule="exact"/>
        <w:rPr>
          <w:rFonts w:ascii="Arial" w:cs="Arial" w:eastAsia="Arial" w:hAnsi="Arial"/>
          <w:sz w:val="18"/>
          <w:szCs w:val="18"/>
          <w:b w:val="1"/>
          <w:bCs w:val="1"/>
          <w:color w:val="auto"/>
        </w:rPr>
      </w:pPr>
    </w:p>
    <w:p>
      <w:pPr>
        <w:ind w:left="660" w:right="60" w:hanging="328"/>
        <w:spacing w:after="0" w:line="258" w:lineRule="auto"/>
        <w:tabs>
          <w:tab w:leader="none" w:pos="660" w:val="left"/>
        </w:tabs>
        <w:numPr>
          <w:ilvl w:val="0"/>
          <w:numId w:val="2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Robotaxi business reached city-wide unit economics breakeven in Shenzhen in February 2026, following the same milestone achieved in Guangzhou in November 2025. In terms of scale, the number of total paid orders in Shenzhen from January to mid-February 2026 exceeded the aggregate number for the entire year of 2025. In addition, the daily net revenue per Gen-7 vehicle on the record peak day reached an all-time high of RMB394 in Shenzhen on March 22, 2026, with 25 orders per vehicle for the day.</w:t>
      </w:r>
    </w:p>
    <w:p>
      <w:pPr>
        <w:spacing w:after="0" w:line="183"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Building upon our initial market success in China, Pony is steadfastly committed to providing this safe, sustainable, and accessible autonomous mobility on a global scale. To date, our presence has extended beyond China to encompass Europe, East Asia, the Middle East and other regions, paving the way for widespread accessibility to our advanced technology.</w:t>
      </w:r>
    </w:p>
    <w:p>
      <w:pPr>
        <w:spacing w:after="0" w:line="17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have made substantial progress in advancing the commercialization of our robotaxi business, marked by the scaling of production and deployment of our Gen-7 robotaxi fleet, the expansion of fully driverless commercial operations and citywide coverage across major cities in China, and the advancement of our international expansion through strategic partnerships. Specifically:</w:t>
      </w:r>
    </w:p>
    <w:p>
      <w:pPr>
        <w:spacing w:after="0" w:line="176" w:lineRule="exact"/>
        <w:rPr>
          <w:sz w:val="20"/>
          <w:szCs w:val="20"/>
          <w:color w:val="auto"/>
        </w:rPr>
      </w:pPr>
    </w:p>
    <w:p>
      <w:pPr>
        <w:ind w:left="660" w:right="120" w:hanging="328"/>
        <w:spacing w:after="0" w:line="255" w:lineRule="auto"/>
        <w:tabs>
          <w:tab w:leader="none" w:pos="660" w:val="left"/>
        </w:tabs>
        <w:numPr>
          <w:ilvl w:val="0"/>
          <w:numId w:val="3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July 2025, we began mass production and road testing of multiple Gen-7 robotaxi models, representing a significant milestone in transitioning from pilot programs to scalable fleet deployment. In August 2025, we accelerated the production of our Gen-7 robotaxi vehicles, with initial batch production completed and large-scale manufacturing initiated with OEM partners. In October 2025, we reached a key milestone with the production of the 300th Gen-7 robotaxi (BAIC model), further scaling our manufacturing capabilities toward mass deployment. By March 2026, our Gen-7 robotaxi fleet continued to scale, supported by expanding deployment and improved operational efficiency, contributing to increased ride volumes and revenue generation.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right="100" w:hanging="328"/>
        <w:spacing w:after="0" w:line="256" w:lineRule="auto"/>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July 2025, we received a permit to provide fully driverless commercial robotaxi services in Shanghai’s Pudong New Area, making us among the first companies authorized to operate such services and further expanding our presence in Tier-one cities. In October 2025, we secured Shenzhen’s first citywide permit for fully driverless commercial robotaxi operations, enabling expansion from district-level operations to citywide deployment. In November 2025, we commenced fully driverless commercial operations across multiple Tier-one cities, including Guangzhou, Shenzhen and Beijing, further expanding service coverage and accelerating commercialization.</w:t>
      </w:r>
    </w:p>
    <w:p>
      <w:pPr>
        <w:spacing w:after="0" w:line="186" w:lineRule="exact"/>
        <w:rPr>
          <w:rFonts w:ascii="Arial" w:cs="Arial" w:eastAsia="Arial" w:hAnsi="Arial"/>
          <w:sz w:val="18"/>
          <w:szCs w:val="18"/>
          <w:b w:val="1"/>
          <w:bCs w:val="1"/>
          <w:color w:val="auto"/>
        </w:rPr>
      </w:pPr>
    </w:p>
    <w:p>
      <w:pPr>
        <w:ind w:left="660" w:right="100" w:hanging="328"/>
        <w:spacing w:after="0" w:line="256" w:lineRule="auto"/>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May 2025, we announced a strategic partnership with Uber to deploy our robotaxis onto the Uber platform, marking a key step toward integrating our autonomous mobility solutions into global ride-hailing ecosystems and expanding into international markets. In July 2025, we announced our robotaxi deployment plan in collaboration with the Roads and Transport Authority in Dubai, representing a key step toward entering the Middle East market. In September 2025, we expanded into additional international markets through partnerships with local operators, including Singapore and the Middle East, subject to applicable regulatory approvals.</w:t>
      </w:r>
    </w:p>
    <w:p>
      <w:pPr>
        <w:spacing w:after="0" w:line="18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With these milestones, Pony is on track to achieve large-scale commercialization of our Virtual Driver technology. Specifically, we aim to develop a commercially viable and sustainable business model that enables the mass production and deployment of vehicles equipped with our Virtual Driver technology across transportation use cases, providing autonomous mobility to people and businesses around the world.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Our Vehicle-Agnostic </w:t>
      </w:r>
      <w:r>
        <w:rPr>
          <w:rFonts w:ascii="Times New Roman" w:cs="Times New Roman" w:eastAsia="Times New Roman" w:hAnsi="Times New Roman"/>
          <w:sz w:val="18"/>
          <w:szCs w:val="18"/>
          <w:b w:val="1"/>
          <w:bCs w:val="1"/>
          <w:i w:val="1"/>
          <w:iCs w:val="1"/>
          <w:color w:val="auto"/>
        </w:rPr>
        <w:t>Virtual Driver</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have built the proprietary vehicle-agnostic Virtual Driver, our full-stack autonomous driving technology that seamlessly integrates our proprietary software, hardware and services, to deliver safe and reliable autonomous mobility in diverse use cases. Our Virtual Driver can be deployed across multiple vehicle platforms and applications to bring a compelling, customized autonomous driving experience to a wide user base in all road conditions.</w:t>
      </w:r>
    </w:p>
    <w:p>
      <w:pPr>
        <w:spacing w:after="0" w:line="176"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i w:val="1"/>
          <w:iCs w:val="1"/>
          <w:color w:val="auto"/>
        </w:rPr>
        <w:t>Proprietary AV Software Stack</w:t>
      </w:r>
    </w:p>
    <w:p>
      <w:pPr>
        <w:spacing w:after="0" w:line="22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pioneered in introducing the world model methodology, PonyWorld, to train our Virtual Driver, enabling our autonomous driving system to “learn by practicing” in AI-generated scenarios. We have advanced our autonomous driving solutions by leveraging end-to-end (E2E) technology, while still integrating the key strengths of individual modules such as perception, prediction, planning and control, and simulation. This approach enhances the efficiency and reliability of our intelligent systems, delivering seamless integration and superior performance in real-world scenarios.</w:t>
      </w:r>
    </w:p>
    <w:p>
      <w:pPr>
        <w:spacing w:after="0" w:line="179"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i w:val="1"/>
          <w:iCs w:val="1"/>
          <w:color w:val="auto"/>
        </w:rPr>
        <w:t>PonyWorld – the Path to Fully Driverless Level 4 Solutions</w:t>
      </w:r>
    </w:p>
    <w:p>
      <w:pPr>
        <w:spacing w:after="0" w:line="228"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Driven by the vision to create the next-generation autonomous driving solutions that could outperform human drivers, we positioned ourselves at the forefront of the industry as a pioneer in implementing a world model methodology. Currently, most autonomous driving solutions rely on “learning by watching” human-driving data, which inherently limits their performance to optimize for safe, comfortable and efficient driving outcomes in fully driverless Level 4 operations. For Level 4 autonomous driving, we believe the object is not merely to mimic human driving behavior, but to drive well — safely, comfortably, and efficiently. World model is a “coaching” methodology for training Level 4 autonomous driving systems by enabling the Level 4 autonomous driving systems to “learn by practicing” in AI-generated scenarios. World model is not merely an algorithm or a standalone system; instead, it “teaches” Level 4 autonomous driving systems how to handle diverse and intricate driving conditions. Driven by the innovativeness of world model methodology, we have developed PonyWorld, which utilizes the latest technology and advanced theories (including reinforcement learning (RL), imitation learning (IL), stable diffusion and LLMs) to create a high-fidelity environment that precisely replicates real-world conditions in both visual detail and dynamic response. PonyWorld consists of three key components: the ability to generate realistic scenarios and sensor data, a high-fidelity simulation system, and a comprehensive set of evaluation metrics. Together, these elements allow PonyWorld to effectively “coach” our Level 4 autonomous driving system to handle real-world challenges.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April 2026, we launched PonyWorld 2.0, the latest upgrade to our proprietary world model and a major advancement in the core training system behind our autonomous driving stack. PonyWorld 2.0’s most important advance is its ability to diagnose its own weaknesses and guide targeted improvement. The upgrade brings three core capabilities: self-diagnosis, targeted data collection in scenarios where the model still falls short, and more efficient training focused on the hardest cases. The launch comes as the autonomous driving industry enters a new commercial phase. The challenge is no longer just proving that driverless technology works. It is now about improving performance quickly and consistently enough to support broader deployment, stronger unit economics, and sustained technical leadership.</w:t>
      </w:r>
    </w:p>
    <w:p>
      <w:pPr>
        <w:spacing w:after="0" w:line="18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For a world model to function effectively in training a Level 4 autonomous driving system, we believe it needs to perform well in three respects. First, it should support a learning-based framework for defining desirable driving behavior, so that the system can optimize for safety, comfort and efficiency rather than merely imitate human driving patterns. Second, it should provide a high-fidelity representation of the physical world, accurately reflecting the kinematics of our vehicle and surrounding road users. Third, it should model how other traffic participants may react to the behavior of an AI driver in both routine and complex scenarios. We believe that only when these capabilities work together can a world model generate training outcomes that meaningfully improve the performance of our Level 4 autonomous driving system.</w:t>
      </w:r>
    </w:p>
    <w:p>
      <w:pPr>
        <w:spacing w:after="0" w:line="18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PonyWorld consists of a high-fidelity simulation system which leverages the latest technology to create a high-fidelity environment that precisely replicates a wide range of real-world traffic scenarios in both visual detail and dynamic response. Unlike conventional Level 4 autonomous driving systems that depend on human-driving data, our simulation system creates a high-fidelity simulation environment that automatically generates driving scenarios and corner cases for the Level 4 autonomous driving system to comprehend, adapt and make driving decisions. The simulated scenarios include interactions between pedestrians and other traffic participants, as well as factors such as weather conditions and road surface slipperiness. In a virtual environment created by PonyWorld, traffic participants are designed to mirror human driver behavior and interact with the Level 4 autonomous vehicles in a human-like manner, thereby simulating a driving scenario that is more representative of real-world traffic conditions. The interaction modelling is critical because surrounding traffic participants may respond differently to an AI driver than to a human driver. In addition, It empowers us to push the boundaries of system capabilities with exceptional accuracy, simulating critical scenarios such as a child suddenly appearing, an uncovered manhole, or falling debris from vehicles ahead. The engine provides a highly efficient and flexible virtual development and testing environment, significantly enhancing safety metrics while reducing both testing time and associated costs. By using PonyWorld to answer various what-if questions, the model is given the ability to repeatedly test and make mistakes in order to find the optimal strategy in reality, thereby ensuring the safety, efficiency, and comfort of the system. This is in contrast to validating various possibilities through road tests, since even extensive road testing may not cover all scenarios.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reinforcement learning component then activates the Level 4 autonomous driving system to learn from these AI-generated driving environments and decision-making experiences to continuously refine its performance. We have also developed a comprehensive set of evaluation metrics to assess the performance of our Level 4 autonomous driving system in various simulated driving scenarios. By measuring the performance of the Level 4 autonomous driving system against these metrics, we could implement real-time improvements to enhance its Level 4 autonomous driving systems. World model also enhances reinforcement learning, interaction prompts and comprehensive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130810</wp:posOffset>
            </wp:positionV>
            <wp:extent cx="5589270" cy="28714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89270"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World model also enhances reinforcement learning, interaction prompts and comprehensive metrics:</w:t>
      </w:r>
    </w:p>
    <w:p>
      <w:pPr>
        <w:spacing w:after="0" w:line="221"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Reinforcement Learning</w:t>
      </w:r>
      <w:r>
        <w:rPr>
          <w:rFonts w:ascii="Times New Roman" w:cs="Times New Roman" w:eastAsia="Times New Roman" w:hAnsi="Times New Roman"/>
          <w:sz w:val="18"/>
          <w:szCs w:val="18"/>
          <w:color w:val="auto"/>
        </w:rPr>
        <w:t>. Reinforcement learning trains AI agents through environmental interaction, rewarding optimal behaviors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penalizing poor ones. This learning by practicing approach allows AI agents to progressively improve their decision-making until reaching optimal performance. This learning process can be further enhanced through the involvement of human guidance, where domain experts directly identify preferred behaviors, supplementing or even replacing the standard reward-penalty system. This approach achieves dual benefits — faster convergence during training (i.e., an acceleration of the learning process) and better alignment of the AI’s behavior with human values and expectations.</w:t>
      </w:r>
    </w:p>
    <w:p>
      <w:pPr>
        <w:spacing w:after="0" w:line="182" w:lineRule="exact"/>
        <w:rPr>
          <w:sz w:val="20"/>
          <w:szCs w:val="20"/>
          <w:color w:val="auto"/>
        </w:rPr>
      </w:pPr>
    </w:p>
    <w:p>
      <w:pPr>
        <w:ind w:right="4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Interaction Prompts</w:t>
      </w:r>
      <w:r>
        <w:rPr>
          <w:rFonts w:ascii="Times New Roman" w:cs="Times New Roman" w:eastAsia="Times New Roman" w:hAnsi="Times New Roman"/>
          <w:sz w:val="18"/>
          <w:szCs w:val="18"/>
          <w:color w:val="auto"/>
        </w:rPr>
        <w:t>. Interaction prompts serve as an additional layer of information encoding that enriches the model’s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understanding of its environment. These prompts encapsulate human knowledge and rules that are explicitly injected into the model. By encoding this information, interaction prompts help to improve the model’s interpretability. For instance, traffic rules or social norms can be encoded as prompts, ensuring the model adheres to these guidelines during interaction scenarios. This aspect enhances the transparency and trustworthiness of the model’s decisions.</w:t>
      </w:r>
    </w:p>
    <w:p>
      <w:pPr>
        <w:spacing w:after="0" w:line="179" w:lineRule="exact"/>
        <w:rPr>
          <w:sz w:val="20"/>
          <w:szCs w:val="20"/>
          <w:color w:val="auto"/>
        </w:rPr>
      </w:pPr>
    </w:p>
    <w:p>
      <w:pPr>
        <w:ind w:right="22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Comprehensive Metrics</w:t>
      </w:r>
      <w:r>
        <w:rPr>
          <w:rFonts w:ascii="Times New Roman" w:cs="Times New Roman" w:eastAsia="Times New Roman" w:hAnsi="Times New Roman"/>
          <w:sz w:val="18"/>
          <w:szCs w:val="18"/>
          <w:color w:val="auto"/>
        </w:rPr>
        <w:t>. A thorough set of metrics and evaluation criteria is essential for assessing the model’s performance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multiple perspectives. Comprehensive metrics enable a holistic understanding of where the system excels and where it needs improvement. These metrics include not only the accuracy or effectiveness of the model’s actions but also aspects such as safety, fairness, and user satisfaction. By evaluating the model across multiple dimensions, the developer can identify the strengths and weaknesses with higher precision, guiding further refinement and training.</w:t>
      </w:r>
    </w:p>
    <w:p>
      <w:pPr>
        <w:spacing w:after="0" w:line="18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world model methodology enhances reinforcement learning by leveraging human insights, structured interaction prompts, and detailed evaluation frameworks consist of comprehensive metrics to create models that are not only skilled at performing tasks but are also aligned with human norms, highly interpretable, and rigorously assessed. This holistic approach ensures the development of systems are both effective and trustworthy.</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world model methodology has allowed our Level 4 autonomous driving system to become “smarter” with each training cycle, strengthening our established presence in the industry in terms of both technology development and commercialization. Since the implementation of world model methodology in 2020, we could train the Level 4 autonomous driving system using virtual data, thus breaking through the limitation of data quantity. Using PonyWorld to train our Level 4 autonomous driving system, it is estimated that over ten billion miles of simulated test data could be generated per week, which is at least 100,000 times more than the road test data generated prior to its implementation. Before the implementation of the world model, we could rely solely on real world road testing data to train our Level 4 autonomous driving system, amounting to several million kilometers per year max. The introduction of the world model enables the generation of virtual data, free from the physical constraints of traditional road testing. Consequently, the volume of data available for training our Level 4 autonomous driving system was estimated to grow exponentially. In addition, PonyWorld could generate scenarios for extreme weather conditions, accounting for the influence on sensor data and subsequent alterations in vehicle control. With the simulated scenarios generated by PonyWorld, it is expected that our Level 4 autonomous driving system could be trained in 95% of extreme weather conditions. PonyWorld could therefore facilitate training of Level 4 autonomous driving systems to navigate inclement weather safely and efficiently. We believe, the PonyWorld-trained Level 4 autonomous driving system is poised to surpass human drivers to make safer and more efficient driving decisions that significantly enhance passenger experience.</w:t>
      </w:r>
    </w:p>
    <w:p>
      <w:pPr>
        <w:spacing w:after="0" w:line="112"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i w:val="1"/>
          <w:iCs w:val="1"/>
          <w:color w:val="auto"/>
        </w:rPr>
        <w:t>“E2E” — Closed-loop Evolution Driven by Advanced Technology</w:t>
      </w:r>
    </w:p>
    <w:p>
      <w:pPr>
        <w:spacing w:after="0" w:line="161"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Our models are designed for interpretability and are powered by technology with outstanding generalization capabilities. This end-to-end approach has demonstrated safety performance that significantly exceeds that of human drivers, while also reducing the costs of scaling operations across new regions and cities. The traditional architecture is hierarchical and it involves step-by-step perception, prediction, and planning and control, which is popular among autonomous driving companies due to its ease of implementation. By embracing E2E technology, we have streamlined the system architecture of our Level 4 autonomous driving system while enhancing overall performance, delivering exceptional functionality in diverse and complex road conditions and extreme weathers such as storms. We believe that streamlining different modules enables the system to achieve more reliable, efficient and safer performance while minimizing lag and data loss.</w:t>
      </w:r>
    </w:p>
    <w:p>
      <w:pPr>
        <w:spacing w:after="0" w:line="120"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Learnable Metric Space</w:t>
      </w:r>
      <w:r>
        <w:rPr>
          <w:rFonts w:ascii="Times New Roman" w:cs="Times New Roman" w:eastAsia="Times New Roman" w:hAnsi="Times New Roman"/>
          <w:sz w:val="18"/>
          <w:szCs w:val="18"/>
          <w:color w:val="auto"/>
        </w:rPr>
        <w:t>: The E2E system leverages a learnable metric space, integrated with a generative model, to simulate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realistic behaviors of vehicles and other road agents that align with real-world scenarios. A key component of this system is its discriminator, which plays a vital role in closed-loop training by measuring loss and in closed-loop testing by evaluating performance metrics. By accurately modeling and analyzing these behaviors, we could ensure our Level 4 autonomous driving system is both realistic and highly effective across a wide range of driving conditions. As a result, the E2E system could reduce the reliance on maps, enabling robotaxi services to rapidly expand to more cities at a relatively low cost.</w:t>
      </w:r>
    </w:p>
    <w:p>
      <w:pPr>
        <w:spacing w:after="0" w:line="115"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Knowledge Distillation from LLMs</w:t>
      </w:r>
      <w:r>
        <w:rPr>
          <w:rFonts w:ascii="Times New Roman" w:cs="Times New Roman" w:eastAsia="Times New Roman" w:hAnsi="Times New Roman"/>
          <w:sz w:val="18"/>
          <w:szCs w:val="18"/>
          <w:color w:val="auto"/>
        </w:rPr>
        <w:t>: By employing smart labeling and feature distillation techniques, we transfer the vast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knowledge embedded in large language models (LLMs) into our resource-constrained, on-board E2E models. This process effectively incorporates the nuanced understanding of complex, long-tail scenarios into compact models, enabling the system to address diverse and intricate driving conditions while maintaining high efficiency and performance under limited computational resources.</w:t>
      </w:r>
    </w:p>
    <w:p>
      <w:pPr>
        <w:spacing w:after="0" w:line="9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Self-Supervised Interpretation Model</w:t>
      </w:r>
      <w:r>
        <w:rPr>
          <w:rFonts w:ascii="Times New Roman" w:cs="Times New Roman" w:eastAsia="Times New Roman" w:hAnsi="Times New Roman"/>
          <w:sz w:val="18"/>
          <w:szCs w:val="18"/>
          <w:color w:val="auto"/>
        </w:rPr>
        <w:t>: Our self-supervised interpretation model utilizes data which lacks meaningful labels or tags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consists of easily accessible human-created samples (“unlabeled data”) to train the E2E model through advanced representation learning. This representation model significantly reduces the need for labeled data by enabling the system to interpret E2E inference results, such as perception outputs, prediction outcomes, specific decisions, and detailed scene descriptions. With the assistance of the model, the labeling efficiency was improved by three times. Human labeler could rely on the model to label data first and then only need to cross-check the model-labeled data. This approach ensures comprehensive interpretability, offering deeper insights into the Level 4 autonomous system’s functionality and decision-making processes.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Learnable Optimization Model</w:t>
      </w:r>
      <w:r>
        <w:rPr>
          <w:rFonts w:ascii="Times New Roman" w:cs="Times New Roman" w:eastAsia="Times New Roman" w:hAnsi="Times New Roman"/>
          <w:sz w:val="18"/>
          <w:szCs w:val="18"/>
          <w:color w:val="auto"/>
        </w:rPr>
        <w:t>: The learnable optimization model integrates model- based and optimization-based methods,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combining the adaptability of data-driven approaches with the precision and controllability of optimization techniques. The model-based method utilizes both deep learning layers such as Convolutional Neural Networks (CNN) and Vision Transformers (ViTs), whereas the optimization-based methods adopt mathematical formula such as learnable Extended Kalman Filter (EKF) and Neural Ordinary Differential Equations (NODE). As a result, the system can learn the behavior of human drivers, while ensures that the output maneuver of Level 4 autonomous vehicle obeys physical laws for realistic results. For instance, the learnable EKF is specifically designed for end-to-end tracking, while the end-to-end planning models incorporate model-based cost functions alongside optimization-based solvers. This hybrid methodology ensures precision, adaptability, and efficiency, reinforcing the reliability of our Level 4 autonomous driving system.</w:t>
      </w:r>
    </w:p>
    <w:p>
      <w:pPr>
        <w:spacing w:after="0" w:line="11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compared to module-by-module systems, an E2E system possesses stronger modeling capabilities. With E2E system in place, the same level of manpower can yield better results. After introducing E2E, engineers could focus more on tasks such as data collection, filtering, and analysis, leveraging data to enhance the model’s performance for iteration. In contrast, before introducing E2E, engineers had to manually add rules, which required significant manpower for complex systems. As a result, the E2E system enables engineers to spend less time on manual tasks and focus more effectively on system upgrades, thereby accelerating iteration efficiency and reducing iteration costs.</w:t>
      </w:r>
    </w:p>
    <w:p>
      <w:pPr>
        <w:spacing w:after="0" w:line="183"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i w:val="1"/>
          <w:iCs w:val="1"/>
          <w:color w:val="auto"/>
        </w:rPr>
        <w:t>“Perception and Prediction” — “Zero Critical Missing” Achieved Through Large Multimodal Models with Prompt Learning</w:t>
      </w:r>
    </w:p>
    <w:p>
      <w:pPr>
        <w:spacing w:after="0" w:line="224" w:lineRule="exact"/>
        <w:rPr>
          <w:sz w:val="20"/>
          <w:szCs w:val="20"/>
          <w:color w:val="auto"/>
        </w:rPr>
      </w:pPr>
    </w:p>
    <w:p>
      <w:pPr>
        <w:jc w:val="both"/>
        <w:ind w:right="3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Perception</w:t>
      </w:r>
      <w:r>
        <w:rPr>
          <w:rFonts w:ascii="Times New Roman" w:cs="Times New Roman" w:eastAsia="Times New Roman" w:hAnsi="Times New Roman"/>
          <w:sz w:val="18"/>
          <w:szCs w:val="18"/>
          <w:color w:val="auto"/>
        </w:rPr>
        <w:t>. The perception module enables our Virtual Driver to see and understand the world around our autonomous vehicle,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puddles on the road to a plastic bag flying in the air. The following diagram demonstrates how our perception module works to produce the data output required to enable autonomous driving: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122555</wp:posOffset>
            </wp:positionV>
            <wp:extent cx="5846445" cy="31375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46445"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By fusing and processing relevant data collected by our comprehensive sensor suite, our perception module enables object segmentation, detection, classification, tracking and scene understanding automatically. In inclement weather conditions such as sandstorms and heavy rains and snow, our perception module demonstrates superior perception capabilities compared to human drivers.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To ensure performance, we leverage a hybrid solution that combines our state-of-the-art deep learning technology and the heuristics approach to process, refine and use the relevant data collected by our sensors. In order to bridge the simulation-to-reality gap for our deep learning technology, we apply heuristics, which is an expression of human knowledge and common sense, by adding deterministic math formulas and rules to the decision-making layer — for instance, a car usually does not cross road barriers, and a pedestrian’s speed usually does not exceed 10 meters per second. This hybrid solution enables accurate detection, classifications and tracking in dense and complex environments.</w:t>
      </w:r>
    </w:p>
    <w:p>
      <w:pPr>
        <w:spacing w:after="0" w:line="183" w:lineRule="exact"/>
        <w:rPr>
          <w:sz w:val="20"/>
          <w:szCs w:val="20"/>
          <w:color w:val="auto"/>
        </w:rPr>
      </w:pPr>
    </w:p>
    <w:p>
      <w:pPr>
        <w:ind w:right="1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Prediction</w:t>
      </w:r>
      <w:r>
        <w:rPr>
          <w:rFonts w:ascii="Times New Roman" w:cs="Times New Roman" w:eastAsia="Times New Roman" w:hAnsi="Times New Roman"/>
          <w:sz w:val="18"/>
          <w:szCs w:val="18"/>
          <w:color w:val="auto"/>
        </w:rPr>
        <w:t>. The prediction module forecasts how other vehicles, pedestrians and other objects may move and behave based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data, including the output of our perception module, raw sensor data, and data regarding historical decisions made by similar road agents. The following diagram demonstrates how our prediction module works to anticipate the trajectories of other road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122555</wp:posOffset>
            </wp:positionV>
            <wp:extent cx="4440555" cy="2049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440555" cy="204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By using a mix of deep learning and heuristics to enable rapid learning and adaptation, our prediction module delivers a series of predicted trajectories for each observed road agent, with each trajectory having an assigned probability of occurrence. These predictions are subsequently used by our other modules, such as the “planning and control” models, to inform the decision-making process for route selection and maneuver execution.</w:t>
      </w:r>
    </w:p>
    <w:p>
      <w:pPr>
        <w:spacing w:after="0" w:line="176" w:lineRule="exact"/>
        <w:rPr>
          <w:sz w:val="20"/>
          <w:szCs w:val="20"/>
          <w:color w:val="auto"/>
        </w:rPr>
      </w:pPr>
    </w:p>
    <w:p>
      <w:pPr>
        <w:ind w:right="1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Large multimodal models with prompt learning</w:t>
      </w:r>
      <w:r>
        <w:rPr>
          <w:rFonts w:ascii="Times New Roman" w:cs="Times New Roman" w:eastAsia="Times New Roman" w:hAnsi="Times New Roman"/>
          <w:sz w:val="18"/>
          <w:szCs w:val="18"/>
          <w:color w:val="auto"/>
        </w:rPr>
        <w:t>. We design and train our perception and prediction modules to be capable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achieving “zero critical missing,” meaning they are able to accurately detect and classify all objects on the road and anticipate all potential object trajectories. In addition, our perception and prediction modules both utilize a large transformer framework that is multi-modal, multi-tasking and prompt-tuned, ensuring a highly reliable and accurate system with low latency.</w:t>
      </w:r>
    </w:p>
    <w:p>
      <w:pPr>
        <w:spacing w:after="0" w:line="180"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Powered by prompt learning technologies, our perception module integrates inputs from various modalities, including point cloud, images, and electromagnetic responses, to accurately detect a variety of distinct object types based on a single model. This approach allows us to significantly reduce latency while improving the precision of perception as compared to the traditional multi-task learning technology.</w:t>
      </w:r>
    </w:p>
    <w:p>
      <w:pPr>
        <w:spacing w:after="0" w:line="18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prediction module employs a multimodal deep learning model that fuses information from both perception observations and human common senses. These common senses are represented by knowledge graphs extracted from traffic rules and human-designed prompts. Transformer structures capture the correlations between different modalities. To address corner cases such as aggressive or erratic driving behaviors, we add extra learnable and specially-designed prompts for each case, in addition to large-scale dataset of daily driving records. This approach ensures that our prediction module can efficiently respond to unexpected behaviors.</w:t>
      </w:r>
    </w:p>
    <w:p>
      <w:pPr>
        <w:spacing w:after="0" w:line="179"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i w:val="1"/>
          <w:iCs w:val="1"/>
          <w:color w:val="auto"/>
        </w:rPr>
        <w:t>“Planning and Control” — Ensuring Safety Through Game Theory and Learning-Based Planning</w:t>
      </w:r>
    </w:p>
    <w:p>
      <w:pPr>
        <w:spacing w:after="0" w:line="22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planning and control module is designed to plan and execute safe, comfortable and efficient road maneuvers based on input from our perception and prediction modules. We leverage our strong AI capabilities to create a robust planning and control module that is capable of smoothly navigating complex road layouts — from streets and alley ways to bustling eight-lane intersections, while being prepared for outlier behaviors or unexpected events caused by other road agents.</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Importantly, our data-driven planning and control module does more than directing the vehicle’s movement based on its surrounding environment and the behavior of nearby road agents — it chooses the best route, accelerates and decelerates smoothly and changes lanes appropriately, which together contribute to a safe, comfortable and efficient autonomous driving experience. This is achieved by using game theory and conditional prediction to analyze the probabilistic prediction results, and make the best driving decision under each prediction while always being prepared for the worst-case scenario.</w:t>
      </w:r>
    </w:p>
    <w:p>
      <w:pPr>
        <w:spacing w:after="0" w:line="183"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Game theory is utilized to model and analyze the interactions between our vehicle and other road agents such as pedestrians and cyclists, with the aim of creating safer and more efficient transportation systems. For instance, if our autonomous vehicle and a human-driven car approach an intersection simultaneously, game theory can help determine the optimal decision for our vehicle. This decision can affect the overall outcome of the system, and game theory can identify the best combinations of actions to minimize conflicts, improve safety, and enhance efficiency. Using game theory results in a one-magnitude improvement in safety during rush hours and congested roads, as well as potential erratic driving behaviors. The following photos include some examples where game theory is utilized: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139700</wp:posOffset>
            </wp:positionV>
            <wp:extent cx="6206490" cy="16459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06490" cy="1645920"/>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Example 1: Unprotected Left Turn in a Chaotic Intersection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301625</wp:posOffset>
            </wp:positionV>
            <wp:extent cx="3060065" cy="17316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060065" cy="17316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Example 2: Moving Through Hectic Traffic Flow with Numerous Pedestrians and Cyclists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112395</wp:posOffset>
            </wp:positionV>
            <wp:extent cx="3060065" cy="17316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060065" cy="17316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00" w:space="560"/>
            <w:col w:w="4520"/>
          </w:cols>
          <w:pgMar w:left="980" w:top="513"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40"/>
        <w:spacing w:after="0"/>
        <w:tabs>
          <w:tab w:leader="none" w:pos="5080" w:val="left"/>
        </w:tabs>
        <w:rPr>
          <w:sz w:val="20"/>
          <w:szCs w:val="20"/>
          <w:color w:val="auto"/>
        </w:rPr>
      </w:pPr>
      <w:r>
        <w:rPr>
          <w:rFonts w:ascii="Times New Roman" w:cs="Times New Roman" w:eastAsia="Times New Roman" w:hAnsi="Times New Roman"/>
          <w:sz w:val="18"/>
          <w:szCs w:val="18"/>
          <w:b w:val="1"/>
          <w:bCs w:val="1"/>
          <w:color w:val="auto"/>
        </w:rPr>
        <w:t>Example 3: Snowy Day. Crossing Pedestrian Interaction</w:t>
      </w:r>
      <w:r>
        <w:rPr>
          <w:sz w:val="20"/>
          <w:szCs w:val="20"/>
          <w:color w:val="auto"/>
        </w:rPr>
        <w:tab/>
      </w:r>
      <w:r>
        <w:rPr>
          <w:rFonts w:ascii="Times New Roman" w:cs="Times New Roman" w:eastAsia="Times New Roman" w:hAnsi="Times New Roman"/>
          <w:sz w:val="17"/>
          <w:szCs w:val="17"/>
          <w:b w:val="1"/>
          <w:bCs w:val="1"/>
          <w:color w:val="auto"/>
        </w:rPr>
        <w:t>Example 4: Large Construction Area. Merging with Vehicles.</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To ensure that our autonomous vehicle drives like humans, we have tuned our decision maker using reinforcement learning from human feedback (RLHF). We have utilized human labelers to provide feedback on the safety, comfort and efficiency of the autonomous driving system in various scenarios. This feedback is then used to train a reward function, which guides the tuning of our deep learning decision-making on a much larger dataset. As a result, our decision-making system has sufficient generalization ability to handle both common cases and extreme scenarios.</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i w:val="1"/>
          <w:iCs w:val="1"/>
          <w:color w:val="auto"/>
        </w:rPr>
        <w:t>“Data &amp; Infrastructure” — Foundation to Rapid Iteration, Scalable Deployment and Efficient Testing</w:t>
      </w:r>
    </w:p>
    <w:p>
      <w:pPr>
        <w:spacing w:after="0" w:line="22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Successful autonomous driving technology deployment and scale rely on a complete set of supporting software infrastructure. From the real-time onboard operating and monitoring systems to offline simulation and machine learning training, and from data collecting and recording system to offline data analysis and mining, we have built a full suite of capabilities that drives rapid iteration, scalable development of a high-quality system, and efficient testing in all aspects of software and hardware development.</w:t>
      </w:r>
    </w:p>
    <w:p>
      <w:pPr>
        <w:spacing w:after="0" w:line="180"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To ensure safe and reliable autonomous driving, all of our perception, prediction and planning and control modules are designed to deal with complex corner cases, which require a special data mining mechanism to dig from tons of road testing data that our autonomous vehicle collects on a daily basis. Therefore, we purposefully design our data mining system to automatically identify such corner cases in which our algorithms and modules need to be refined. Those corner cases will be recorded and added to our training data and simulation system.</w:t>
      </w:r>
    </w:p>
    <w:p>
      <w:pPr>
        <w:spacing w:after="0" w:line="18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onboard monitoring system schedules, runs and monitors all of our software modules underlying our </w:t>
      </w:r>
      <w:r>
        <w:rPr>
          <w:rFonts w:ascii="Times New Roman" w:cs="Times New Roman" w:eastAsia="Times New Roman" w:hAnsi="Times New Roman"/>
          <w:sz w:val="18"/>
          <w:szCs w:val="18"/>
          <w:i w:val="1"/>
          <w:iCs w:val="1"/>
          <w:color w:val="auto"/>
        </w:rPr>
        <w:t>Virtual Driver</w:t>
      </w:r>
      <w:r>
        <w:rPr>
          <w:rFonts w:ascii="Times New Roman" w:cs="Times New Roman" w:eastAsia="Times New Roman" w:hAnsi="Times New Roman"/>
          <w:sz w:val="18"/>
          <w:szCs w:val="18"/>
          <w:color w:val="auto"/>
        </w:rPr>
        <w:t xml:space="preserve">. It implements a unified application programming interface for seamless module communications, which maintains a stable data flow from the upstream sensors all the way to the downstream planning and control module. This has helped to ensure safety and performance of our </w:t>
      </w:r>
      <w:r>
        <w:rPr>
          <w:rFonts w:ascii="Times New Roman" w:cs="Times New Roman" w:eastAsia="Times New Roman" w:hAnsi="Times New Roman"/>
          <w:sz w:val="18"/>
          <w:szCs w:val="18"/>
          <w:i w:val="1"/>
          <w:iCs w:val="1"/>
          <w:color w:val="auto"/>
        </w:rPr>
        <w:t>Virtual Driver</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i w:val="1"/>
          <w:iCs w:val="1"/>
          <w:color w:val="auto"/>
        </w:rPr>
        <w:t>“Tool Chains &amp; Metrics System” — Advancing Autonomous Driving Through Rapid Iteration and Trackable Metrics</w:t>
      </w:r>
    </w:p>
    <w:p>
      <w:pPr>
        <w:spacing w:after="0" w:line="22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have developed a comprehensive, scalable, and user-friendly tool chains and metrics system to support every major stage of our technology development, ensuring both safety and reliability while accelerating the iterative cycles. Such powerful proprietary tool chains and metrics system allows us to develop and train autonomous driving systems that are capable of adapting to new cities or regions and operating effectively typically in less than two weeks.</w:t>
      </w:r>
    </w:p>
    <w:p>
      <w:pPr>
        <w:spacing w:after="0" w:line="180"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development of autonomous driving technology heavily relies on data and involves multiple stages, such as data analytics, data mining, code development, data labeling, model training, simulation-based evaluation, continuous integration/continuous delivery (CI/CD), and feature release. We have developed powerful, automated tool chains that provide one-stop solutions to engineers with low latency covering the entire AV software development process. Adding server resources can further reduce latency without any technical changes required. All of our tool chains are based on distributed data and computation platforms that can be easily deployed to cloud or private environments compliant with regulations.</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Scaling autonomous driving technology is critical for its success as it must adapt to varying road conditions, traffic rules, and driving patterns across geographies. This poses another challenge, as autonomous driving systems must recognize and respond to various situations they may encounter on the road. With our advanced tool chains, we have significantly reduced the time required for us to penetrate a new city from six months to half a month.</w:t>
      </w:r>
    </w:p>
    <w:p>
      <w:pPr>
        <w:spacing w:after="0" w:line="18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Developing a consistent and accurate way to measure the performance of autonomous driving systems is critical to ensuring the safe and trackable deployment of this technology. We have created a comprehensive metrics system that combines real-world road testing and simulations to effectively measure the safety of the autonomous driving system. By leveraging the strengths of both real-world road testing and simulations, we can evaluate the system’s performance in a wide range of scenarios, which may be difficult to recreate on the road.</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metrics system is highly sensitive and has high credibility in detecting any subtle regression in the system’s performance. This is critical to ensuring the safety of passengers and other road agents. Additionally, we have established a process for ongoing monitoring and improvement of the system’s safety performance. This includes regular updates and improvements to the system’s software and hardware, as well as ongoing testing and evaluation to ensure that the system remains safe and effective over time.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Sensors and hardware</w:t>
      </w:r>
    </w:p>
    <w:p>
      <w:pPr>
        <w:spacing w:after="0" w:line="22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According to Frost &amp; Sullivan, we are the world’s first autonomous driving technology company to develop Level 4 autonomous vehicles with automotive-grade, factory-installed sensors and hardware (including LiDAR and computation platform) integrated, while our peers currently have not integrated automotive-grade components into their Level 4 autonomous vehicles. To commercialize and scale our Level 4 autonomous vehicle fleet, transitioning to more cost-efficient automotive-grade hardware was a necessary step. By adopting automotive-grade hardware, we have achieved significant cost reductions that support mass production, enhance the viability of our business model, and open up new commercial opportunities in the Level 4 autonomous vehicle market. We have established in-depth collaboration and mass production arrangements with multiple global and Chinese OEMs, while our peers have not had any mass production arrangements with global and Chinese OEMs, according to Frost &amp; Sullivan. We employ a multi-sensor approach that incorporates LiDARs, high-resolution cameras as well as radars to accurately and precisely perceive and understand the environment surrounding our Level 4 autonomous vehicles. Our current Level 4 autonomous vehicle model is equipped with a robust sensor suite comprising nine LiDAR units, 14 high-resolution cameras, four millimeter-wave radars, four microphones, two wade sensors, and one collision sensor suite. This comprehensive sensor array enables 360-degree, blind-spot-free perception around the vehicle, with environmental detection capabilities extending up to 650 meters. Our upgraded sensor suite could enable navigation in urban and highway environments, as well as reliable operation in inclement weather conditions such as rain, snow, and fog, and corner cases such as sudden pedestrian appearances and yielding to emergency vehicles.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diagram illustrates our sensor designs on our 7th generation Level 4 autonomous vehicle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154305</wp:posOffset>
            </wp:positionV>
            <wp:extent cx="5040630" cy="33775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040630" cy="337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80" w:hanging="321"/>
        <w:spacing w:after="0" w:line="262"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LiDARs</w:t>
      </w:r>
      <w:r>
        <w:rPr>
          <w:rFonts w:ascii="Times New Roman" w:cs="Times New Roman" w:eastAsia="Times New Roman" w:hAnsi="Times New Roman"/>
          <w:sz w:val="18"/>
          <w:szCs w:val="18"/>
          <w:color w:val="auto"/>
        </w:rPr>
        <w:t>. LiDAR uses laser beams to accurately detect objects around our Level 4 autonomous vehicle, which allows high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resolution range sensing in all lighting conditions. We deploy nine LiDARs on both the top and sides of our current Level 4 autonomous vehicle model, which can generate precise and real-time three-dimensional images of the surrounding, from cars to traffic lights to pedestrians, in a wide range of environments and under diverse lighting conditions day and night.</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right="20" w:hanging="328"/>
        <w:spacing w:after="0" w:line="257" w:lineRule="auto"/>
        <w:tabs>
          <w:tab w:leader="none" w:pos="660" w:val="left"/>
        </w:tabs>
        <w:numPr>
          <w:ilvl w:val="0"/>
          <w:numId w:val="40"/>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i w:val="1"/>
          <w:iCs w:val="1"/>
          <w:color w:val="auto"/>
        </w:rPr>
        <w:t>Cameras</w:t>
      </w:r>
      <w:r>
        <w:rPr>
          <w:rFonts w:ascii="Times New Roman" w:cs="Times New Roman" w:eastAsia="Times New Roman" w:hAnsi="Times New Roman"/>
          <w:sz w:val="18"/>
          <w:szCs w:val="18"/>
          <w:color w:val="auto"/>
        </w:rPr>
        <w:t>. By equipping our Level 4 autonomous vehicle with 14 high-resolution cameras at every angle, the vehicle is capable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maintaining a 360-degree view of its surrounding environment without major blind spots, thereby providing a broader picture of the traffic conditions around it. In our latest Virtual Driver, we install in-house designed cameras tailored specifically for our Level 4 autonomous vehicle fleet needs. For example, the customized automotive-grade cameras improved image quality significantly, enhancing sensor data input to ensure safety, reliability and optimal performance of our Level 4 autonomous driving solutions.</w:t>
      </w:r>
    </w:p>
    <w:p>
      <w:pPr>
        <w:spacing w:after="0" w:line="181" w:lineRule="exact"/>
        <w:rPr>
          <w:rFonts w:ascii="Arial" w:cs="Arial" w:eastAsia="Arial" w:hAnsi="Arial"/>
          <w:sz w:val="18"/>
          <w:szCs w:val="18"/>
          <w:b w:val="1"/>
          <w:bCs w:val="1"/>
          <w:color w:val="auto"/>
        </w:rPr>
      </w:pPr>
    </w:p>
    <w:p>
      <w:pPr>
        <w:ind w:left="660" w:right="60" w:hanging="328"/>
        <w:spacing w:after="0" w:line="259" w:lineRule="auto"/>
        <w:tabs>
          <w:tab w:leader="none" w:pos="660" w:val="left"/>
        </w:tabs>
        <w:numPr>
          <w:ilvl w:val="0"/>
          <w:numId w:val="40"/>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i w:val="1"/>
          <w:iCs w:val="1"/>
          <w:color w:val="auto"/>
        </w:rPr>
        <w:t>Radars</w:t>
      </w:r>
      <w:r>
        <w:rPr>
          <w:rFonts w:ascii="Times New Roman" w:cs="Times New Roman" w:eastAsia="Times New Roman" w:hAnsi="Times New Roman"/>
          <w:sz w:val="18"/>
          <w:szCs w:val="18"/>
          <w:color w:val="auto"/>
        </w:rPr>
        <w:t>. Radar emits radio waves that detect objects and gauge their distance and speed in relation to our vehicle in real time.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compared to LiDAR and camera, radar works best in inclement weather such as rain, snow and fog. Our Level 4 autonomous vehicle is equipped with four long range radars at the front, back and two corners of rear side, respectively. Our 4D radars featured increased sensing capabilities with detection range up to 300 meters, higher accuracy, improved object recognition, real-time adaptability and robustness.</w:t>
      </w:r>
    </w:p>
    <w:p>
      <w:pPr>
        <w:spacing w:after="0" w:line="178" w:lineRule="exact"/>
        <w:rPr>
          <w:rFonts w:ascii="Arial" w:cs="Arial" w:eastAsia="Arial" w:hAnsi="Arial"/>
          <w:sz w:val="18"/>
          <w:szCs w:val="18"/>
          <w:b w:val="1"/>
          <w:bCs w:val="1"/>
          <w:color w:val="auto"/>
        </w:rPr>
      </w:pPr>
    </w:p>
    <w:p>
      <w:pPr>
        <w:ind w:left="660" w:right="40" w:hanging="328"/>
        <w:spacing w:after="0" w:line="268" w:lineRule="auto"/>
        <w:tabs>
          <w:tab w:leader="none" w:pos="660" w:val="left"/>
        </w:tabs>
        <w:numPr>
          <w:ilvl w:val="0"/>
          <w:numId w:val="40"/>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i w:val="1"/>
          <w:iCs w:val="1"/>
          <w:color w:val="auto"/>
        </w:rPr>
        <w:t>GNSS / IMU</w:t>
      </w:r>
      <w:r>
        <w:rPr>
          <w:rFonts w:ascii="Times New Roman" w:cs="Times New Roman" w:eastAsia="Times New Roman" w:hAnsi="Times New Roman"/>
          <w:sz w:val="18"/>
          <w:szCs w:val="18"/>
          <w:color w:val="auto"/>
        </w:rPr>
        <w:t>. In addition to perception sensors, we also use two other types of sensors in our system, a high-accuracy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navigation satellite system (GNSS) and inertial measurement units (IMU). These sensors work together with our high-definition maps and localization module to ensure accurate positioning of our Level 4 autonomous vehicles.</w:t>
      </w:r>
    </w:p>
    <w:p>
      <w:pPr>
        <w:spacing w:after="0" w:line="174"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 xml:space="preserve">By synchronizing inputs from the sensor suite, we effectively balance the inherent strengths and weaknesses of the different sensors, leading to improved precision in outlining the environment around the vehicle. In addition, we also integrate information from multiple sensors of the same object type to yield a more accurate and reliable representation of the surrounding environment by taking advantage of partially overlapping fields of view. Through the integration of our redundant sensor coverage and intelligent software modules, our </w:t>
      </w:r>
      <w:r>
        <w:rPr>
          <w:rFonts w:ascii="Times New Roman" w:cs="Times New Roman" w:eastAsia="Times New Roman" w:hAnsi="Times New Roman"/>
          <w:sz w:val="18"/>
          <w:szCs w:val="18"/>
          <w:i w:val="1"/>
          <w:iCs w:val="1"/>
          <w:color w:val="auto"/>
        </w:rPr>
        <w:t xml:space="preserve">Virtual Driver </w:t>
      </w:r>
      <w:r>
        <w:rPr>
          <w:rFonts w:ascii="Times New Roman" w:cs="Times New Roman" w:eastAsia="Times New Roman" w:hAnsi="Times New Roman"/>
          <w:sz w:val="18"/>
          <w:szCs w:val="18"/>
          <w:color w:val="auto"/>
        </w:rPr>
        <w:t>is able to sense the surrounding environment and objects at all times and in complex weather conditions, resulting in safer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more reliable Level 4 autonomous driving solutions.</w:t>
      </w:r>
    </w:p>
    <w:p>
      <w:pPr>
        <w:spacing w:after="0" w:line="18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Through years of dedicated research and practical application of sensor technology, combined with our in-depth industry insights, we have developed a highly comprehensive sensor evaluation and selection system. This system enables us to select the best sensors available in the market while offering valuable suggestions to our suppliers on how to improve their product design and quality for Level 4 autonomous driving applications. Furthermore, drawing on our unique insights into the specific demands of sensor design and functionality for Level 4 autonomous vehicles, we work closely with our suppliers to develop customized sensor products that are better suited for Level 4 autonomous driving scenarios. Via rigorous testing and design improvements, the hardware of our system has been customized to tackle challenging driving conditions. For instance, to enhance detection performance and accuracy, we have developed an advanced sensor cleaning solution, ensuring that vehicles can maintain real-time awareness of complex road conditions, meeting the demanding operational and safety requirements for robotaxi services to operate in both urban areas and highways during inclement weather conditions. This collaboration supports the continued optimization of our highly integrated AV software and hardware, ensuring that we provide our customers with the safest, most reliable and efficient Level 4 autonomous driving solutions. Built upon our extensive industry expertise and robust partnerships, we distinguish ourselves as the sole autonomous driving technology company that designs our Level 4 autonomous vehicles, integrating with auto-grade, factory-installed sensors and hardware, according to Frost &amp; Sullivan.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Computation System</w:t>
      </w:r>
    </w:p>
    <w:p>
      <w:pPr>
        <w:spacing w:after="0" w:line="22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computation system is responsible for processing the data collected from the sensors and running our proprietary algorithms in real time to enable our vehicles to drive autonomously. In designing and configuring our computing system, we focus on performance, reliability and resource efficiency. Each piece of the computation system is validated by well-defined compliance tests. For example, our latest computing unit is built on NVIDIA DRIVE Orin, an automotive-grade processor purpose-built for Level 4 autonomous vehicles, for high performance and scalable compute.</w:t>
      </w:r>
    </w:p>
    <w:p>
      <w:pPr>
        <w:spacing w:after="0" w:line="18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in-house development of the autonomous driving computation unit (ADCU), a fully automotive-grade computing platform, has enabled us to define a computation architecture that is tailored specifically for Level 4 autonomous driving applications. We have customized the memory system, data pipeline, and time synchronization topology to ensure that all processor capabilities are utilized to their maximum potential. Furthermore, our in-house ADCU can be fine-tuned to balance performance and resource consumption, making it a more sustainable and cost-effective solution. Additionally, the ADCU can be more easily adapted and upgraded as new technologies become available, enabling greater flexibility and scalability. This transition from industrial-grade to automotive-grade computing platform allows us to deploy and scale safer, more efficient and cost-effective Level 4 autonomous vehicle fleets.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Vehicle Integration</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Vigorous vehicle engineering brings together every piece of our Virtual Driver, from our robust AV software to the high-quality hardware sourced from our business partners. By integrating them on diverse vehicle platforms, we design our Level 4 autonomous vehicle, as a carrier of all, to offer the safest and smoothest passenger experience. We utilize an automated standard integration process to enhance vehicle consistency. Rigorous validation and testing at both component- and system-level, including mechanical shock, vibration, thermal chamber and waterproof tests, are conducted to ensure optimal performance, reliability, and stability. Together with our partners, we have established an integrated and streamlined assembly line, fully prepared for the mass production of vehicles incorporating our advanced Virtual Driver technology. This endeavor is bolstered by our utilization of our OEM partners’ industrialized designs, quality control and supply chain management process, yielding improvements in reliability, efficiency, and scalability.</w:t>
      </w:r>
    </w:p>
    <w:p>
      <w:pPr>
        <w:spacing w:after="0" w:line="19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Years of testing and design improvement with our OEM partners over the course of our six generations of Level 4 autonomous vehicle models underpin our confidence in our purpose-built Level 4 automation. With each new generation of our Level 4 autonomous vehicle model, we strive to deliver improved and more sophisticated hardware designs that better integrate with the vehicle platform, while also enhancing cost efficiency and adaptability. Our dedication to ongoing improvement means that each iteration of our vehicle represents the latest advancements in Level 4 autonomous driving technology, ensuring that we provide passengers with the safe and most advanced Level 4 autonomous driving experience possible. Our highly integrated Level 4 autonomous vehicles were designed to closely resemble mass-produced cars in terms of weight, power consumption, size, and other key aspects. Our 6th generation Level 4 autonomous vehicle model, developed in partnership with Toyota, has been deployed for public-facing robotaxi services since July 2023. In April 2025, we launched the 7th generation robotaxi, including three vehicle models co-developed through our strategic partnerships with Toyota (Toyota bZ-4X), BAIC (Alpha-T5) and GAC (AION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134620</wp:posOffset>
            </wp:positionV>
            <wp:extent cx="5880735" cy="951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8073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60" w:firstLine="324"/>
        <w:spacing w:after="0" w:line="235" w:lineRule="auto"/>
        <w:rPr>
          <w:sz w:val="20"/>
          <w:szCs w:val="20"/>
          <w:color w:val="auto"/>
        </w:rPr>
      </w:pPr>
      <w:r>
        <w:rPr>
          <w:rFonts w:ascii="Times New Roman" w:cs="Times New Roman" w:eastAsia="Times New Roman" w:hAnsi="Times New Roman"/>
          <w:sz w:val="18"/>
          <w:szCs w:val="18"/>
          <w:color w:val="auto"/>
        </w:rPr>
        <w:t>Our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generation Level 4 autonomous vehicle model features a redundant vehicle platform. With redundant sensors, computation systems, power, and actuators in our vehicle platforms, we can avoid single points of failure. For example, in our computation system, different processors cross-check and function as backup systems for each other, and certain algorithms running on the GPU can fall back to the CPU if an error occurs. Another example is that if the main power system fails, the backup power system will engage and ensure continuous power to the computation system, and thus the continued operation of our Virtual Driver as a whole.</w:t>
      </w:r>
    </w:p>
    <w:p>
      <w:pPr>
        <w:spacing w:after="0" w:line="193" w:lineRule="exact"/>
        <w:rPr>
          <w:sz w:val="20"/>
          <w:szCs w:val="20"/>
          <w:color w:val="auto"/>
        </w:rPr>
      </w:pPr>
    </w:p>
    <w:p>
      <w:pPr>
        <w:ind w:right="80" w:firstLine="324"/>
        <w:spacing w:after="0" w:line="189" w:lineRule="auto"/>
        <w:rPr>
          <w:sz w:val="20"/>
          <w:szCs w:val="20"/>
          <w:color w:val="auto"/>
        </w:rPr>
      </w:pPr>
      <w:r>
        <w:rPr>
          <w:rFonts w:ascii="Times New Roman" w:cs="Times New Roman" w:eastAsia="Times New Roman" w:hAnsi="Times New Roman"/>
          <w:sz w:val="18"/>
          <w:szCs w:val="18"/>
          <w:color w:val="auto"/>
        </w:rPr>
        <w:t>We are currently co-developing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generation Level 4 autonomous vehicle models with BAIC, GAC, and SAIC Motor, in addition to our strategic collaboration with Toyota. Our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generation vehicle marks a critical step to advance the large-scale deployment of our fully driverless Level 4 robotaxis. Our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generation Level 4 autonomous vehicle models will feature multiple layers of redundancy in system design coupled with industry-leading remote assistance capabilities. We designed our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generation Level 4 autonomous vehicle to offer smoother passenger experience with enhanced HMI system and efficient trip plan.</w:t>
      </w:r>
    </w:p>
    <w:p>
      <w:pPr>
        <w:spacing w:after="0" w:line="19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approach to ensuring the reliable and safe operation of our Level 4 autonomous vehicle includes a three-layer system comprised of (i) normal operation mode, (ii) degraded safe mode, and (iii) minimal risk condition mode. The degraded mode and minimal risk condition mode operate on physically independent redundant platforms, which include redundant sensors and computations. In the event of faults occurring during normal operation, we detect these faults and transition the system to a degraded safe mode, allowing the vehicle to drive to a safe location. If critical faults occur that cannot be addressed by the degraded safe mode, the minimal risk condition mode will be triggered, allowing the vehicle to at least stop in its lane without collision.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Remote Assistance</w:t>
      </w:r>
    </w:p>
    <w:p>
      <w:pPr>
        <w:spacing w:after="0" w:line="22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have a cost-effective and scalable remote assistance system (“RA system”) to ensure that our Level 4 autonomous vehicles can handle unexpected situations with ease. Unlike remote safety drivers who would assume control over the vehicle from time to time, our remote assistance operators only monitor and provide driving guidance to vehicles without any direct control over the vehicle. Our </w:t>
      </w:r>
      <w:r>
        <w:rPr>
          <w:rFonts w:ascii="Times New Roman" w:cs="Times New Roman" w:eastAsia="Times New Roman" w:hAnsi="Times New Roman"/>
          <w:sz w:val="18"/>
          <w:szCs w:val="18"/>
          <w:i w:val="1"/>
          <w:iCs w:val="1"/>
          <w:color w:val="auto"/>
        </w:rPr>
        <w:t xml:space="preserve">Virtual Driver </w:t>
      </w:r>
      <w:r>
        <w:rPr>
          <w:rFonts w:ascii="Times New Roman" w:cs="Times New Roman" w:eastAsia="Times New Roman" w:hAnsi="Times New Roman"/>
          <w:sz w:val="18"/>
          <w:szCs w:val="18"/>
          <w:color w:val="auto"/>
        </w:rPr>
        <w:t>handles all driving decisions autonomously, from perceiving surroundings to executing maneuvers such as acceleration,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braking and lane changing. It operates safely and efficiently with minimal human intervention, primarily due to rigorous training on various scenarios and corner cases generated by PonyWorld. This reduced reliance on remote control over vehicles also reduces exposure to potential cyber intrusions, which greatly improves the overall safety of our Level 4 autonomous driving system.</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remote assistance operators intervene only in extreme scenarios, such as temporary road closures or severe congestion, providing driving guidance to vehicles including rerouting or pulling over based on real-time data. Using multi-screen workstations, each remote assistance operator can oversee a fleet of Level 4 autonomous vehicles simultaneously, which significantly reduces labor and operational costs for our fleet management.</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Automotive-Grade Mass Production with Cost Efficiency</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Level 4 autonomous driving solution is fully prepared for mass production. While we do not have an in-house production function, we have established deep partnerships with several OEMs and manufacturing partners, who support our mass production efforts. We have developed our technology to ensure that all hardware complies with comprehensive automotive-grade standards, enabling scale up of production. One of the key advantages of our mass production capability is the significant reduction in costs, making our business model viable and unlocking new commercial opportunities in the Level 4 autonomous vehicle market.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Beyond Autonomous Driving: The Physical AI Engine</w:t>
      </w:r>
    </w:p>
    <w:p>
      <w:pPr>
        <w:spacing w:after="0" w:line="227"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As PonyWorld continues to be refined by tens of millions of kilometers of real-world data, we are exploring its potential applicability beyond structured road environments. We believe the efficiency and targeted learning mechanisms underlying PonyWorld 2.0 are highly relevant not only for autonomous driving but also for broader, higher-complexity physical AI training. Ultimately, this foundational technology has the potential to support highly advanced automation in a variety of complex tasks outside of our core driving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 Models and Services Offerings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have been commercializing our autonomous driving technology by integrating it with vehicles of various models, classes and levels of autonomy to enable multiple commercial applications. We mainly focus on vehicles and use cases that maximize our commercial opportunity, including electric vehicle passenger “robotaxis” and long-distance, heavy-duty “robotrucks.” We also capitalize on our robust technology capabilities by offering POV intelligent driving solutions and value-added technological services.</w:t>
      </w:r>
    </w:p>
    <w:p>
      <w:pPr>
        <w:spacing w:after="0" w:line="176"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i w:val="1"/>
          <w:iCs w:val="1"/>
          <w:color w:val="auto"/>
        </w:rPr>
        <w:t>Robotaxi Services</w:t>
      </w:r>
    </w:p>
    <w:p>
      <w:pPr>
        <w:spacing w:after="0" w:line="22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provide robotaxi services to drive passengers autonomously on a ride-hailing basis in vehicles integrated with our Virtual Driver. As of March 31, 2026, we operated a fleet of over 1,400 robotaxis, with over 65.0 million kilometers of autonomous driving mileage cumulatively.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 Fun and Safe Ride with Our Robotaxi</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endeavor to offer a compelling autonomous driving experience to our passengers. Passengers can enjoy a safe, comfortable and convenient ride with us via a few clicks on our PonyPilot mobile app, which is currently available for download on both Apple and Android app stores. Once a passenger hails a ride, our mobile app will direct the passenger to a nearby travel station for pick up and drop off. We have built our proprietary human machine interface application PonyHI to improve passenger experience. PonyHI provides passengers with significant information about the journey, including the vehicle position, trip route, vehicle trajectory and road conditions. For our fare-charging autonomous robotaxi services, passengers can view the fare for the ride on both our PonyPilot mobile app and the in-car interactive interface, and they can complete payment on their mobile devices using major mobile payment apps including Weixin and Alipay.</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are screenshots of our proprietary PonyPilot mobile 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154305</wp:posOffset>
            </wp:positionV>
            <wp:extent cx="5863590" cy="29660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63590"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are currently working with a growing number of leading TNCs in China to roll out our robotaxi services across their apps, increasing the visibility and accessibility of our services. Today, passengers can easily hail our robotaxis on our proprietary </w:t>
      </w:r>
      <w:r>
        <w:rPr>
          <w:rFonts w:ascii="Times New Roman" w:cs="Times New Roman" w:eastAsia="Times New Roman" w:hAnsi="Times New Roman"/>
          <w:sz w:val="18"/>
          <w:szCs w:val="18"/>
          <w:i w:val="1"/>
          <w:iCs w:val="1"/>
          <w:color w:val="auto"/>
        </w:rPr>
        <w:t>PonyPilot</w:t>
      </w:r>
      <w:r>
        <w:rPr>
          <w:rFonts w:ascii="Times New Roman" w:cs="Times New Roman" w:eastAsia="Times New Roman" w:hAnsi="Times New Roman"/>
          <w:sz w:val="18"/>
          <w:szCs w:val="18"/>
          <w:color w:val="auto"/>
        </w:rPr>
        <w:t xml:space="preserve"> mobile app, WeChat mini program, Amap, WeChat mobility services platform, and Alipay mini program.</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Commercialization Roadmaps</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launched our autonomous vehicle fleet on open roads with a safety driver in Guangzhou in February 2018, and have since then rapidly scaled our public-facing robotaxi operations in China. As of March 31, 2026, we operated a fleet of over 1,400 robotaxis. Our Robotaxi business reached city-wide unit economics breakeven in Shenzhen in February 2026, following the same milestone achieved in Guangzhou in November 2025. In terms of scale, the number of total paid orders in Shenzhen from January to mid-February 2026 exceeded the aggregate number for the entire year of 2025. In addition, the daily net revenue per Gen-7 vehicle on the record peak day reached an all-time high of RMB394 in Shenzhen on March 22, 2026, with 25 orders per vehicle for the day. Total users approached one million in China by late March 2026, nearly tripling year-on-year.</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Obtaining a regulatory permit represents a critical milestone of an autonomous driving company’s technological and operational readiness towards commercialization. In China, local regulators have established rigorous, comprehensive criteria to ensure the safety and commercial viability of autonomous vehicles before granting permits for road testing and commercial operations. These criteria take into account a wide range of highly specialized and technical metrics and indicators, including the proportion of autonomous driving mileage, critical intervention and accident rate performances, simulation and other road testing results, the quality of safety drivers and remote control / assistance capabilities, contingency plans, and the number of passenger orders. By carefully evaluating these factors, regulators assess the technological and operational readiness of autonomous driving companies to safely and effectively operate vehicles on public roads. Therefore, the regulatory permit review and approval process serves as a critical safeguard to ensure that only the most advanced and reliable autonomous driving technologies are allowed to be tested and deployed on public roads. With all available regulatory permits essential for providing public-facing robotaxi services received in all four Tier-1 cities in China, namely Beijing, Shanghai, Guangzhou and Shenzhen, we are the frontrunner in advancing commercialization of public-facing robotaxi services in China, according to Frost &amp; Sullivan. The following diagram further illustrates the key progress we have made in obtaining major regulatory permits for providing public-facing robotaxi services in China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6103620" cy="15862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0362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60" w:right="20" w:hanging="647"/>
        <w:spacing w:after="0" w:line="270" w:lineRule="auto"/>
        <w:tabs>
          <w:tab w:leader="none" w:pos="640" w:val="left"/>
        </w:tabs>
        <w:rPr>
          <w:sz w:val="20"/>
          <w:szCs w:val="20"/>
          <w:color w:val="auto"/>
        </w:rPr>
      </w:pP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231F20"/>
        </w:rPr>
        <w:t>Information about issuance status of applicable regulatory permits in the table above is based on the publicly available information and our company’s best knowledge as of the date of this annual report. Under the current regulatory framework, each of the four Tier-1 cities in China issues two categories of robotaxi permits: one for robotaxis operating autonomously with a safety driver present, and another for fully driverless robotaxis. Within each category, there are three specific types of permits: testing permits, public-facing permits and fare-charging permits. Tier-1 cities usually grant robotaxi permits in stages, with each successive stage imposing stricter technical and operational requirements such as test mileage and disengagement rate. The initial permit is a testing permit which allows an autonomous driving technology company to test its autonomous vehicle within testing areas. Then the company could apply for public-facing permits that allow testing vehicles to carry passengers without charges in all open roads. When reaching the most advanced stage, an autonomous driving company could obtain a fare-charging permit which allows it to operate autonomous vehicles for commercial services (such as ride-hailing service).</w:t>
      </w:r>
    </w:p>
    <w:p>
      <w:pPr>
        <w:spacing w:after="0" w:line="17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were among the first in China to obtain licenses to operate fully driverless vehicles in all four Tier-1 cities in China. In addition, we are the only autonomous driving technology company to secure all available regulatory permits essential for providing public-facing robotaxi services in all four Tier-1 cities in China, according to Frost &amp; Sullivan. We believe this first-mover advantage for staying ahead in regulatory approval, combined with our robust technology and partnership with OEMs, has positioned us to commercialize public-facing robotaxi services at scale in China in the future. As of December 31, 2025, we had obtained all 24 categories of robotaxi permits available in Tier-1 cities in China.</w:t>
      </w:r>
    </w:p>
    <w:p>
      <w:pPr>
        <w:spacing w:after="0" w:line="18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also have operations on a limited scale in the U.S., with employees mainly engaged in R&amp;D. Furthermore, we are strategically pursuing expansion opportunities in other growing markets worldwide. Collaborative partnerships have been forged with local governments, industry leaders, and technology innovators across Europe, East Asia, the Middle East and other regions, focusing on local development, deployment, and commercialization of our technology. To date, our business footprint extends to Luxembourg, South Korea, Saudi Arabia, Singapore, Croatia and the United Arab Emirates.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our robotaxi services continue to scale, we are well positioned to connect and empower different stakeholders along the value chain with diversified monetization models with OEMs, TNCs and fleet companies, as illustrated by our go-to-market strategies depicted in the diagram below:</w:t>
      </w:r>
    </w:p>
    <w:p>
      <w:pPr>
        <w:spacing w:after="0" w:line="176"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For our robotaxi services, we operate our own Level 4 robotaxi fleet. We collaborate with OEM partners to co-develop vehicle designs that are engineered to accommodate and support Level 4 autonomous driving functionality. This partnership enables us to leverage OEMs’ expertise in vehicle engineering and mass production. We either procure robotaxis with our Virtual Driver system installed from OEMs or purchase vehicles from OEMs and install our Virtual Driver system afterwards, for deployment in our robotaxi fleets.</w:t>
      </w:r>
    </w:p>
    <w:p>
      <w:pPr>
        <w:spacing w:after="0" w:line="18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reach passengers through two channels. First, we integrate our services with TNCs, utilizing their platforms and user interfaces. In this model, passenger fares are processed directly through the respective TNC platforms. Passengers make payments through the TNC platforms. TNCs collect and then transfer the fare to Pony when the ride is completed, and will deduct the customer acquisition fees afterwards. Additionally, passengers can access our robotaxi services directly through our PonyPilot app. In this channel, passenger fares are paid directly to us. Revenues are recognized over time as we provide the fare-charging services. In addition, we enter into technology licensing arrangements with strategic partners for our proprietary virtual driver systems. Revenues are recognized over time as we provide the licensing services.</w:t>
      </w:r>
    </w:p>
    <w:p>
      <w:pPr>
        <w:spacing w:after="0" w:line="18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pricing of ride-hailing services is usage-based and calculated primarily based on trip mileage, with rates varying depending on route, traffic, and other dynamic factors. This go-to-market strategy is demonstrated by the following graphics.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114300</wp:posOffset>
            </wp:positionV>
            <wp:extent cx="5812155" cy="18599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12155"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developing a second business model for our Level 4 robotaxi ride-hailing service. While the core operations remain identical to the model discussed above, the key distinction lies in how the robotaxi fleet is managed. Instead of procuring robotaxis ourselves and operating and maintaining our own fleet, we will lease robotaxis from third-party fleet operators.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Under this upcoming model, third-party fleet operators will purchase robotaxis co- developed by Pony and OEMs and take responsibility for fleet maintenance. We then will lease the robotaxis from these operators, paying both leasing and maintenance fees. This approach shifts the majority of the capital expenditure associated with acquiring robotaxis, as well as ongoing fleet maintenance costs, to the third-party fleet operators. This business model is demonstrated by the following graphics.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125730</wp:posOffset>
            </wp:positionV>
            <wp:extent cx="5812155" cy="15773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12155"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Level 4 robotaxi ride-hailing services, we provide a comprehensive suite of AV engineering solutions, including AV software deployment and maintenance, vehicle integration and engineering and road testing, to OEMs and TNCs, enabling them to integrate our Level 4 autonomous driving technology with their vehicle models or establish their own robotaxi fleets with vehicles equipped with our Virtual Driver system. These engineering solution contracts typically involve a combination of software, system integration, hardware components, and related services. These contracts and pricings are customized based on each customer’s technical and operational requirements. We typically source hardware components directly from suppliers, either for product development or to fulfill service requirements requested by our customers. Revenue is generally recognized based on the progression schedule of collaboration projects. This process is illustrated in the following graphics.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133350</wp:posOffset>
            </wp:positionV>
            <wp:extent cx="6000750" cy="24688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0075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80" w:right="140" w:hanging="321"/>
        <w:spacing w:after="0" w:line="259"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OEMs</w:t>
      </w:r>
      <w:r>
        <w:rPr>
          <w:rFonts w:ascii="Times New Roman" w:cs="Times New Roman" w:eastAsia="Times New Roman" w:hAnsi="Times New Roman"/>
          <w:sz w:val="18"/>
          <w:szCs w:val="18"/>
          <w:color w:val="auto"/>
        </w:rPr>
        <w:t>. We believe OEMs will help us commercialize our robotaxi services at scale. We work with OEMs to co-develop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produce Level 4 autonomous vehicles across various vehicle platforms. We will deepen our collaboration with an increasing number of OEM partners to constantly upgrade and optimize our Level 4 autonomous vehicle models, delivering improved Level 4 autonomous driving experience to passengers. The Level 4 autonomous vehicles manufactured by our OEM partners will be then sold to comprise the fleets owned by ourselves or third-party fleet companies.</w:t>
      </w: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513" w:right="10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hanging="328"/>
        <w:spacing w:after="0" w:line="252" w:lineRule="auto"/>
        <w:tabs>
          <w:tab w:leader="none" w:pos="660" w:val="left"/>
        </w:tabs>
        <w:numPr>
          <w:ilvl w:val="1"/>
          <w:numId w:val="4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i w:val="1"/>
          <w:iCs w:val="1"/>
          <w:color w:val="auto"/>
        </w:rPr>
        <w:t>Self-owned fleets &amp; joint deployment model</w:t>
      </w:r>
      <w:r>
        <w:rPr>
          <w:rFonts w:ascii="Times New Roman" w:cs="Times New Roman" w:eastAsia="Times New Roman" w:hAnsi="Times New Roman"/>
          <w:sz w:val="18"/>
          <w:szCs w:val="18"/>
          <w:color w:val="auto"/>
        </w:rPr>
        <w:t>. While we currently serve passengers entirely with our self-owned robotaxi fleets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directly engage with them, we expect the future robotaxi fleets to be largely owned by a growing network of third-party fleet companies funded by third-party fleet owners. Under this long-term operating model, we expect to generate revenues by operating robotaxi fleets for these fleet companies. In addition, we may also generate revenues by selling Level 4 autonomous vehicles co-developed with different OEM partners to them where our Virtual Driver system has been incorporated to OEMs’ vehicle models. Under this model, we could charge fleet companies licensing fees for the use of our Virtual Driver system. We anticipate this model to enable a potentially asset-light and high-margin revenue stream, while allowing us to continuously focus on technology innovations and scale more rapidly across our geographic markets. In April 2024, we reached a significant milestone in our commercialization roadmap by unveiling a joint venture with Toyota and GTMC. The joint venture is held by Guangzhou (HX) Pony as to 50.0% and Toyota and GTMC together as to 50.0%. Under the terms of the joint venture agreement, Toyota will supply the joint venture, acting as a fleet company, with Toyota-branded battery electric vehicles. These vehicles, furnished with Toyota’s Level 4 autonomous driving-compatible redundant systems our advanced Virtual Driver technology and, can be accessed through our PonyPilot mobile app. The ownership of the robotaxi fleet shall belong to the joint venture, and we shall pay fees to the JV under a leasing arrangement, which is determined based on, among others, the number of robotaxis to be leased by us and technology to be deployed on the leased robotaxis. Any intellectual property newly created or developed based on the pre-existing intellectual property owned by any party to the joint venture shall be deemed “Joint Intellectual Property” and shall be owned by the joint venture. The parties to the joint venture, along with their respective affiliates, shall have an equal and royalty-free right to use such Joint Intellectual Property. The profits shall be distributed in proportion to the actual capital contributions paid. In addition, backed by Toyota’s platform and manufacturing expertise, we are executing our joint deployment model. Gen-7 mass production has begun, and we have secured 1,000 bZ4X vehicles this year to form the backbone of our 2026 expansion. We upgraded our strategic partnership with BAIC and GAC, to leverage their mature supply chain and after-sales network and jointly deploy vehicles in the overseas market.</w:t>
      </w:r>
    </w:p>
    <w:p>
      <w:pPr>
        <w:spacing w:after="0" w:line="185" w:lineRule="exact"/>
        <w:rPr>
          <w:rFonts w:ascii="Arial" w:cs="Arial" w:eastAsia="Arial" w:hAnsi="Arial"/>
          <w:sz w:val="18"/>
          <w:szCs w:val="18"/>
          <w:b w:val="1"/>
          <w:bCs w:val="1"/>
          <w:color w:val="auto"/>
        </w:rPr>
      </w:pPr>
    </w:p>
    <w:p>
      <w:pPr>
        <w:ind w:left="660" w:right="20" w:hanging="328"/>
        <w:spacing w:after="0" w:line="254" w:lineRule="auto"/>
        <w:tabs>
          <w:tab w:leader="none" w:pos="660" w:val="left"/>
        </w:tabs>
        <w:numPr>
          <w:ilvl w:val="1"/>
          <w:numId w:val="4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i w:val="1"/>
          <w:iCs w:val="1"/>
          <w:color w:val="auto"/>
        </w:rPr>
        <w:t>TNCs</w:t>
      </w:r>
      <w:r>
        <w:rPr>
          <w:rFonts w:ascii="Times New Roman" w:cs="Times New Roman" w:eastAsia="Times New Roman" w:hAnsi="Times New Roman"/>
          <w:sz w:val="18"/>
          <w:szCs w:val="18"/>
          <w:color w:val="auto"/>
        </w:rPr>
        <w:t>. Under our go-to-market strategies, TNCs will serve as an effective conduit connecting our robotaxis with their expansive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user bases. Both us and third-party fleet companies may offer robotaxi services to passengers through various TNCs, and receive a portion of fare paid by passengers as revenues under certain revenue sharing arrangements. In 2025, we formed a partnership with Sunlight Mobility, further broadening our downstream deployment network and supporting fleet rollout in a wider range of operating scenarios. We elevated our collaboration with OnTime Mobility in Guangzhou to scale our Robotaxi fleet and secure recurring licensing revenues. Concurrently in Beijing, our January partnership with Beijing ATBB Travel &amp; Express Service Co., Ltd. (“ATBB”) expands our footprint into premium business travel, successfully penetrating higher-value mobility segments. We also continued to deepen integration with Tencent’s WeChat Mobility Services platform in Shenzhen and Guangzhou, enhancing service connectivity and user access through established mobility platforms. Taken together, these collaborations reinforce the integrated and scalable foundation supporting our continued commercialization efforts.</w:t>
      </w:r>
    </w:p>
    <w:p>
      <w:pPr>
        <w:spacing w:after="0" w:line="184" w:lineRule="exact"/>
        <w:rPr>
          <w:rFonts w:ascii="Arial" w:cs="Arial" w:eastAsia="Arial" w:hAnsi="Arial"/>
          <w:sz w:val="18"/>
          <w:szCs w:val="18"/>
          <w:b w:val="1"/>
          <w:bCs w:val="1"/>
          <w:color w:val="auto"/>
        </w:rPr>
      </w:pPr>
    </w:p>
    <w:p>
      <w:pPr>
        <w:ind w:left="680" w:right="180" w:hanging="321"/>
        <w:spacing w:after="0" w:line="284" w:lineRule="auto"/>
        <w:tabs>
          <w:tab w:leader="none" w:pos="68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Passengers</w:t>
      </w:r>
      <w:r>
        <w:rPr>
          <w:rFonts w:ascii="Times New Roman" w:cs="Times New Roman" w:eastAsia="Times New Roman" w:hAnsi="Times New Roman"/>
          <w:sz w:val="18"/>
          <w:szCs w:val="18"/>
          <w:color w:val="auto"/>
        </w:rPr>
        <w:t>. As our robotaxi fleets continue to scale, passengers may access our robotaxi services either directly on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PonyPilot mobile app or through the mobile apps operated by different TNCs. Passenger fare will be charged by us and/or the applicable TNCs, as the case may be, for each ride on a robotaxi.</w:t>
      </w:r>
    </w:p>
    <w:p>
      <w:pPr>
        <w:spacing w:after="0" w:line="16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Robotruck Services</w:t>
      </w:r>
    </w:p>
    <w:p>
      <w:pPr>
        <w:spacing w:after="0" w:line="22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upon a common set of underlying technology, we rolled out our hub-to-hub autonomous freight solutions in March 2021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to capture tremendous opportunities in the truck freight market.</w:t>
      </w:r>
    </w:p>
    <w:p>
      <w:pPr>
        <w:spacing w:after="0" w:line="20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have obtained autonomous driving public road testing permits in Beijing and Guangzhou, and we operated a fleet of 210 robotrucks as of March 31, 2026, consisting of both Level 2++ intelligent trucks and Level 4 driverless trucks, covering all major commercially active areas and transportation arteries throughout China. To validate our technology and business model in anticipation of large-scale commercialization in the future, we are also running our robotrucks in a variety of business scenarios.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360045</wp:posOffset>
            </wp:positionV>
            <wp:extent cx="6000750" cy="17659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00750"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Adapting Our Virtual Driver to Robotruck Use Cases</w:t>
      </w:r>
    </w:p>
    <w:p>
      <w:pPr>
        <w:spacing w:after="0" w:line="227" w:lineRule="exact"/>
        <w:rPr>
          <w:sz w:val="20"/>
          <w:szCs w:val="20"/>
          <w:color w:val="auto"/>
        </w:rPr>
      </w:pPr>
    </w:p>
    <w:p>
      <w:pPr>
        <w:ind w:right="100" w:firstLine="324"/>
        <w:spacing w:after="0" w:line="277" w:lineRule="auto"/>
        <w:rPr>
          <w:sz w:val="20"/>
          <w:szCs w:val="20"/>
          <w:color w:val="auto"/>
        </w:rPr>
      </w:pPr>
      <w:r>
        <w:rPr>
          <w:rFonts w:ascii="Times New Roman" w:cs="Times New Roman" w:eastAsia="Times New Roman" w:hAnsi="Times New Roman"/>
          <w:sz w:val="17"/>
          <w:szCs w:val="17"/>
          <w:color w:val="auto"/>
        </w:rPr>
        <w:t>While the key autonomous driving technology used in our robotruck services largely overlaps with our robotaxi services, we meticulously customize certain modules, such as sensor suite and control, to cater to the specific robotruck use cases. For example, we expand our vehicle’s detection range to approximately 500 to 1,000 meters, allowing our robotruck to drive safely at a high speed. We equip our robotrucks with back-facing cameras and radars, which are considered optimal for trucks to change or merge lanes. Additionally, short-range and wide-angle LiDARs are added to our robotrucks, eliminating any potential blind spots to improve safety.</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diagram illustrates our sensor designs optimized for our robotrucks: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154305</wp:posOffset>
            </wp:positionV>
            <wp:extent cx="4714875" cy="28803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71487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addition, trucks are significantly less nimble than passenger cars, as characterized by longer gearshift timeframes and higher actuation accuracy requirements. Our control module is designed to dynamically adapt with high precision to varying truck trailer cargo weights as well as crosswind speeds which can both drastically alter the movement of and create unique challenges for robotrucks.</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980" w:top="513" w:right="11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Commercialization Roadmap</w:t>
      </w:r>
    </w:p>
    <w:p>
      <w:pPr>
        <w:spacing w:after="0" w:line="227"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The blueprint of our robotruck services is built upon our strategic relationships with truck OEMs on the one hand and logistics platforms on the other. We believe our collaboration with truck OEMs will allow us to rapidly scale the production of robotrucks integrated with our technology, whereas our cooperation with leading logistics platforms will help us apply our robotruck services to commercial use cases including intelligent hub-to-hub autonomous freight solutions. The diagram below illustrates our go-to-market strategies and our current and planned monetization models for our robotruck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1026160</wp:posOffset>
            </wp:positionH>
            <wp:positionV relativeFrom="paragraph">
              <wp:posOffset>128270</wp:posOffset>
            </wp:positionV>
            <wp:extent cx="4251960" cy="30086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25196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Sinotrans partnership</w:t>
      </w:r>
      <w:r>
        <w:rPr>
          <w:rFonts w:ascii="Times New Roman" w:cs="Times New Roman" w:eastAsia="Times New Roman" w:hAnsi="Times New Roman"/>
          <w:sz w:val="18"/>
          <w:szCs w:val="18"/>
          <w:color w:val="auto"/>
        </w:rPr>
        <w:t>. In December 2021, we announced our partnership with Sinotrans, China’s largest freight logistics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according to CIFA. We formed Cyantron as its controlling shareholder to build a mixed capacity freight service provider with our autonomous driving technology. As of December 31, 2025, Cyantron has commenced operations with a fleet of over 140 robotrucks, consisting of Level 2++ intelligent trucks and Level 4 autonomous trucks. In the short term, Cyantron offers hybrid logistics capacity, including its robotruck services, to Sinotrans for logistics fees. As the robotruck fleet size continues to grow, Cyantron is expected to serve a growing number of Sinotrans’ freight orders across China, and offers paid robotruck services to customers at a large scale in the long term. As a result, Sinotrans and other logistics platforms in China’s truck freight market will gain access to safe, reliable and environmental-friendly freight capacity at reduced labor and other costs. Through Cyantron, we will also use data analytics to improve loading and dispatching efficiency and reduce accident rates. In January 2025, we entered into a new agreement with Sinotrans to enhance Cyantron’s investments in R&amp;D, while continuously expanding its logistics capacity. Cyantron aims to provide intelligent, efficient, safe, and green logistics services. In alignment with the transition to renewable energy, we are also assessing the opportunities to increase the proportion of new energy vehicles in our fleet to embrace evolving business demands.</w:t>
      </w:r>
    </w:p>
    <w:p>
      <w:pPr>
        <w:spacing w:after="0" w:line="190" w:lineRule="exact"/>
        <w:rPr>
          <w:sz w:val="20"/>
          <w:szCs w:val="20"/>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SANY partnership</w:t>
      </w:r>
      <w:r>
        <w:rPr>
          <w:rFonts w:ascii="Times New Roman" w:cs="Times New Roman" w:eastAsia="Times New Roman" w:hAnsi="Times New Roman"/>
          <w:sz w:val="18"/>
          <w:szCs w:val="18"/>
          <w:color w:val="auto"/>
        </w:rPr>
        <w:t>. As another firm step towards commercial applications of our robotruck services, we entered into a strategic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 with SANY, a leading truck manufacturer in China, in May 2022, pursuant to which we will co-develop automotive-grade Level 4 trucks powered by our technology. As part of our strategic cooperation agreement, we are responsible for licensing our autonomous driving technology and providing technical support for the development of robotrucks, and SANY has agreed to, among other things, manufacture robotrucks at arm’s length prices, and help to market our robotrucks through its sales channels. Both parties may terminate the agreement by mutual consent or in the event of force majeure.</w:t>
      </w:r>
    </w:p>
    <w:p>
      <w:pPr>
        <w:spacing w:after="0" w:line="200" w:lineRule="exact"/>
        <w:rPr>
          <w:sz w:val="20"/>
          <w:szCs w:val="20"/>
          <w:color w:val="auto"/>
        </w:rPr>
      </w:pPr>
    </w:p>
    <w:p>
      <w:pPr>
        <w:spacing w:after="0" w:line="2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80"/>
          </w:cols>
          <w:pgMar w:left="980" w:top="513" w:right="11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Chinese local governments bolster efforts to promote and regulate the safety and commercial viability of robotruck services, we have made substantial progress in obtaining relevant regulatory permits for road testing and commercial operations. In December 2020, we were the first to obtain the robotruck road testing permit in Guangzhou, according to Frost &amp; Sullivan. In July 2021, we expanded our road testing footprints to include Beijing and were allowed to test our robotrucks on national open highways. In January 2024, we received the very first cross-provincial robotruck road testing permit in China, according to Frost &amp; Sullivan, and began testing on the highway freight network across the Beijing-Tianjin-Hebei region. In early 2024, we made significant progress in the commercialization of robotrucks, obtaining permissions to offer fare-charging robotruck services in cities such as Beijing and Tianjin. Through our partnership with Sinotrans, we have formed a robotruck fleet that provides routine transportation services to clients. In December 2024, we became the first company in China approved to test “driver out” in the follow truck in a “1+N” platoon, which allowed us to begin testing our robotruck convoy on the cross-provincial expressway connecting Beijing, Tianjin and Hebei. While the lead robotruck will continue to have a safety operator in the driver’s seat, the robotruck behind it will be driver out, i.e., no one behind the wheel. The platooning permit marks another major milestone for our robotruck services and could enable us to further reduce the costs of autonomous trucking.</w:t>
      </w:r>
    </w:p>
    <w:p>
      <w:pPr>
        <w:spacing w:after="0" w:line="183"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i w:val="1"/>
          <w:iCs w:val="1"/>
          <w:color w:val="auto"/>
        </w:rPr>
        <w:t>Licensing and Applications</w:t>
      </w:r>
    </w:p>
    <w:p>
      <w:pPr>
        <w:spacing w:after="0" w:line="228"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Leveraging our extensive vehicle engineering and integration experience, we provide intelligent driving solutions for peripheral of vehicles to empower such vehicles to achieve higher levels of driving automation. We offer a complete suite of intelligent driving solutions to leading vehicle companies, spanning software licensing, hardware and data analytics tools. In addition, we also provide certain value-added technological services, such as vehicle integration services, and software development and licensing services, primarily to sensor and hardware component suppliers, helping them better adapt their products and solutions to autonomous driving use cases. Furthermore, we also offer vehicle-to-everything products and services to enhance road safety, and improve transportation efficiency and experience.</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licensing and applications business also recorded solid progress in 2025. Deliveries of autonomous domain controllers increased significantly year-over-year, reaching approximately six times the level of 2024. In 2025, we further expanded the application scenarios into a wider range of customers, including those in low-speed robot delivery, robot sweepers, logistics and humanoid robotics. We are also actively exploring opportunities in the robotics field. The continued expansion of customer demand and broadening application scenarios is expected to provide sustained support for the growth of the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Ecosystem of Partners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Around our core technology, we have built a thriving ecosystem of industry and technology partners, including OEMs, TNCs and logistics platforms, semiconductor chip suppliers, sensor suppliers, and other types of industry stakeholders. These strategic partnerships allow us to continue to hone our expertise in developing cutting-edge autonomous driving software and technology, but at the same time effectively leverage the manufacturing, product development, customer networks, and service expertise of our partners to scale and monetize our technology globally.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diagram illustrates our key partners and our cooperation with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154305</wp:posOffset>
            </wp:positionV>
            <wp:extent cx="5949315" cy="28117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49315"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collaborative ecosystem around our technology and partners connects us with the vehicle and component suppliers, and the mass service demand from TNCs and logistics platforms. This connection has enabled us to scale our autonomous vehicle fleets integrated with our Virtual Driver, while simultaneously applying such autonomous vehicles across diversified commercial use cases in a cost-effective way.</w:t>
      </w:r>
    </w:p>
    <w:p>
      <w:pPr>
        <w:spacing w:after="0" w:line="17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Robotaxi services</w:t>
      </w:r>
      <w:r>
        <w:rPr>
          <w:rFonts w:ascii="Times New Roman" w:cs="Times New Roman" w:eastAsia="Times New Roman" w:hAnsi="Times New Roman"/>
          <w:sz w:val="18"/>
          <w:szCs w:val="18"/>
          <w:color w:val="auto"/>
        </w:rPr>
        <w:t>: we have strategically built in-depth collaborations with trusted OEMs such as Toyota, BAIC, GAC and SAIC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Motor to co-develop and mass-produce Level 4 autonomous vehicles. Through our collaboration with Toyota, we successfully launched our 6th generation Level 4 autonomous vehicle model in January 2022 to support fully driverless Level 4 robotaxi operations. In April 2025, we launched the 7th generation robotaxi, including three new Level 4 vehicle models co-developed through our strategic partnerships with Toyota, BAIC and GAC. The partnerships with these trusted OEMs have significantly increased our ability to scale our technology globally with reliable, integrated vehicle platforms. In addition, we have formed partnerships with established TNCs, such as Alipay, Amap and OnTime Mobility to scale and expand our robotaxi services and enhance passenger coverage. For example, with strategic investments in OnTime Mobility in April 2022, OnTime Mobility owned and operated a fleet of 50 vehicles integrated with our Virtual Driver on its mobile app to offer paid public-facing robotaxi services in Guangzhou and Shenzhen, China. In addition, we also integrate our services with OnTime Mobility’s platform and utilize their interface for the operation of own robotaxi fleet.</w:t>
      </w:r>
    </w:p>
    <w:p>
      <w:pPr>
        <w:spacing w:after="0" w:line="185"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Robotruck services</w:t>
      </w:r>
      <w:r>
        <w:rPr>
          <w:rFonts w:ascii="Times New Roman" w:cs="Times New Roman" w:eastAsia="Times New Roman" w:hAnsi="Times New Roman"/>
          <w:sz w:val="18"/>
          <w:szCs w:val="18"/>
          <w:color w:val="auto"/>
        </w:rPr>
        <w:t>: we have formed strategic partnerships with China’s leading truck manufacturer SANY to co-develop robotrucks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powered by our technology, and with Sinotrans, China’s largest freight logistics company according to CIFA, to operate both Level 2+ trucks and Level 4 autonomous trucks throughout Sinotrans’ certain existing logistics network. Our Virtual Driver technology, combined with the manufacturing and aftersales capability of truck OEMs and the demand and infrastructure of logistics platforms, has positioned us to capitalize on opportunities in China’s large trucking market.</w:t>
      </w:r>
    </w:p>
    <w:p>
      <w:pPr>
        <w:spacing w:after="0" w:line="179"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Licensing and applications</w:t>
      </w:r>
      <w:r>
        <w:rPr>
          <w:rFonts w:ascii="Times New Roman" w:cs="Times New Roman" w:eastAsia="Times New Roman" w:hAnsi="Times New Roman"/>
          <w:sz w:val="18"/>
          <w:szCs w:val="18"/>
          <w:color w:val="auto"/>
        </w:rPr>
        <w:t>: we have co-development collaborations with logistics customers, such as Meituan, Neolix and Cainiao,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hardware components, and with NVIDIA. Such deep collaborations with established hardware component companies enable us to customize designs to deliver high performance and cost effectiveness, as well as to secure supply during uptime.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As we progressively broaden our overseas presence, we engage in collaborative ventures with a diverse array of business partners in selected global markets. These partnerships, spanning local governments, industry leaders, and technology innovators, are strategically aligned to advance the commercialization of our technology within these markets. For example, we formalized a memorandum of understanding with the Luxembourg government in March 2024 to propel the evolution of Level 4 autonomous mobility within Luxembourg, as our regional hub. Our collaborative efforts with the Luxembourg government and local partners aim to drive technological innovation and customize solutions tailored to the European market. We have collaborated with a local partner in South Korea to initiate road tests of robotaxi in urban areas in Seoul in 2025. Our discussions with various entities, including potential partners in Saudi Arabia, are advancing towards potential deployment in the region, and we have signed a MoU with the Abu Dhabi Investment Office to move forward with deployment in Abu Dhabi in October 2023.</w:t>
      </w:r>
    </w:p>
    <w:p>
      <w:pPr>
        <w:spacing w:after="0" w:line="18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Under the contractual arrangements with our major strategic partners, we typically maintain ownership of the intellectual property rights that were developed by us. In cases where joint collaboration results in new intellectual property, the ownership of these rights is typically shared between ourselves and our strategic partners. Our agreements with these partners ensure that all parties benefit from the co-development and deployment of new technologies, while also providing clear guidelines for the protection and management of intellectual property. By working closely with our partners and taking a collaborative approach to innovation, we are able to leverage our collective strengths and drive the continued growth of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and Suppliers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At the current stage of commercialization, our customers consist primarily of (i) OEMs and TNCs with respect to our robotaxi services, (ii) OEMs and logistics platforms with respect to our robotruck services, and (iii) sensor and hardware component suppliers and other industry participants with respect to our licensing and applications business. To a lesser extent, our customers also include passengers who access our robotaxi services via our </w:t>
      </w:r>
      <w:r>
        <w:rPr>
          <w:rFonts w:ascii="Times New Roman" w:cs="Times New Roman" w:eastAsia="Times New Roman" w:hAnsi="Times New Roman"/>
          <w:sz w:val="18"/>
          <w:szCs w:val="18"/>
          <w:i w:val="1"/>
          <w:iCs w:val="1"/>
          <w:color w:val="auto"/>
        </w:rPr>
        <w:t>PonyPilot</w:t>
      </w:r>
      <w:r>
        <w:rPr>
          <w:rFonts w:ascii="Times New Roman" w:cs="Times New Roman" w:eastAsia="Times New Roman" w:hAnsi="Times New Roman"/>
          <w:sz w:val="18"/>
          <w:szCs w:val="18"/>
          <w:color w:val="auto"/>
        </w:rPr>
        <w:t xml:space="preserve"> mobile app. In 2023, 2024 and 2025, we had 52, 111 and </w:t>
      </w:r>
      <w:r>
        <w:rPr>
          <w:rFonts w:ascii="Times New Roman" w:cs="Times New Roman" w:eastAsia="Times New Roman" w:hAnsi="Times New Roman"/>
          <w:sz w:val="18"/>
          <w:szCs w:val="18"/>
          <w:color w:val="231F20"/>
        </w:rPr>
        <w:t>213</w:t>
      </w:r>
      <w:r>
        <w:rPr>
          <w:rFonts w:ascii="Times New Roman" w:cs="Times New Roman" w:eastAsia="Times New Roman" w:hAnsi="Times New Roman"/>
          <w:sz w:val="18"/>
          <w:szCs w:val="18"/>
          <w:color w:val="auto"/>
        </w:rPr>
        <w:t xml:space="preserve"> corporate customers, respectively, in addition to individual customers who were passengers of our robotaxi services. These customers include domestic companies and multinational companies operating at various scales along the autonomous driving value chain, including vehicle manufacturing, logistics, and AV software and hardware design and manufacturing.</w:t>
      </w:r>
    </w:p>
    <w:p>
      <w:pPr>
        <w:spacing w:after="0" w:line="18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have historically generated revenues from a small group of customers during the early stage of commercialization. Our top three customers accounted for an aggregate of 65.8%, 43.9% and </w:t>
      </w:r>
      <w:r>
        <w:rPr>
          <w:rFonts w:ascii="Times New Roman" w:cs="Times New Roman" w:eastAsia="Times New Roman" w:hAnsi="Times New Roman"/>
          <w:sz w:val="18"/>
          <w:szCs w:val="18"/>
          <w:color w:val="231F20"/>
        </w:rPr>
        <w:t>59.4</w:t>
      </w:r>
      <w:r>
        <w:rPr>
          <w:rFonts w:ascii="Times New Roman" w:cs="Times New Roman" w:eastAsia="Times New Roman" w:hAnsi="Times New Roman"/>
          <w:sz w:val="18"/>
          <w:szCs w:val="18"/>
          <w:color w:val="auto"/>
        </w:rPr>
        <w:t>% of our revenues in 2023, 2024 and 2025, respectively. These were primarily customers of our (i) engineering solution services, (ii) transportation services provided by our robotruck fleet, and (iii) licensing and applications business. There was one customer who was one of our top three customers in each period of 2023, 2024 and 2025. There is no preexisting relationship between any member of our management team with these customers. As we continue to commercialize our autonomous driving technology through executing our go-to-market strategies, our customer base and profile are expected to constantly change, and we expect to further reduce our customer concentration.</w:t>
      </w:r>
    </w:p>
    <w:p>
      <w:pPr>
        <w:spacing w:after="0" w:line="18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suppliers include primarily various component and service suppliers, such as semiconductor chip suppliers and sensor suppliers. We collaborate with these suppliers, which co-design with and/or supply to us certain key components used in our sensor suite and hardware, allowing us to focus our endeavors on research and development while improving our ability to mass produce and commercialize our technology.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have invested a significant amount of time and effort into research and development of proprietary artificial intelligence, algorithms and software and hardware components to constantly enhance the capability of our Virtual Driver and solidify our technology leadership in the market. As the commercial deployment of our autonomous driving technology progresses, we are also devoted to adapting and optimizing our technology to different commercial use cases. As of December 31, 2025, we had 811 engineers, researchers and scientists whose expertise spans a broad range of disciplines such as vehicle engineering, industry design, AI and machine learning and data analytics. Our research and development teams are responsible for the design, development and testing of our autonomous driving technology.</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research and development presence across multiple locations has enabled us to develop, test and refine our autonomous driving technology based on diverse road, and weather, resulting in more reliable, resilient and scalable autonomous driving solutions. Our multi-center approach, combined with our leadership in the industry, also allows us to attract and retain top talents across the world, which contributes to our long-term business growth.</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rely on proprietary technology and we are dependent on our ability to protect such technology. We rely on a combination of patent, copyright, trade secret and trademark laws as well as contractual restrictions such as confidentiality agreements, licenses and intellectual property assignment agreements to protect our intellectual property. We also maintain a policy requiring our employees, consultants and other third parties to enter into confidentiality and proprietary information agreements for the protection and confidentiality of our proprietary information. As of December 31, 2025, we had registered 386 patents, </w:t>
      </w:r>
      <w:r>
        <w:rPr>
          <w:rFonts w:ascii="Times New Roman" w:cs="Times New Roman" w:eastAsia="Times New Roman" w:hAnsi="Times New Roman"/>
          <w:sz w:val="18"/>
          <w:szCs w:val="18"/>
          <w:color w:val="231F20"/>
        </w:rPr>
        <w:t>213</w:t>
      </w:r>
      <w:r>
        <w:rPr>
          <w:rFonts w:ascii="Times New Roman" w:cs="Times New Roman" w:eastAsia="Times New Roman" w:hAnsi="Times New Roman"/>
          <w:sz w:val="18"/>
          <w:szCs w:val="18"/>
          <w:color w:val="auto"/>
        </w:rPr>
        <w:t xml:space="preserve"> copyrights, </w:t>
      </w:r>
      <w:r>
        <w:rPr>
          <w:rFonts w:ascii="Times New Roman" w:cs="Times New Roman" w:eastAsia="Times New Roman" w:hAnsi="Times New Roman"/>
          <w:sz w:val="18"/>
          <w:szCs w:val="18"/>
          <w:color w:val="231F20"/>
        </w:rPr>
        <w:t>642</w:t>
      </w:r>
      <w:r>
        <w:rPr>
          <w:rFonts w:ascii="Times New Roman" w:cs="Times New Roman" w:eastAsia="Times New Roman" w:hAnsi="Times New Roman"/>
          <w:sz w:val="18"/>
          <w:szCs w:val="18"/>
          <w:color w:val="auto"/>
        </w:rPr>
        <w:t xml:space="preserve"> trademarks in China, and </w:t>
      </w:r>
      <w:r>
        <w:rPr>
          <w:rFonts w:ascii="Times New Roman" w:cs="Times New Roman" w:eastAsia="Times New Roman" w:hAnsi="Times New Roman"/>
          <w:sz w:val="18"/>
          <w:szCs w:val="18"/>
          <w:color w:val="231F20"/>
        </w:rPr>
        <w:t>214</w:t>
      </w:r>
      <w:r>
        <w:rPr>
          <w:rFonts w:ascii="Times New Roman" w:cs="Times New Roman" w:eastAsia="Times New Roman" w:hAnsi="Times New Roman"/>
          <w:sz w:val="18"/>
          <w:szCs w:val="18"/>
          <w:color w:val="auto"/>
        </w:rPr>
        <w:t xml:space="preserve"> patents and </w:t>
      </w:r>
      <w:r>
        <w:rPr>
          <w:rFonts w:ascii="Times New Roman" w:cs="Times New Roman" w:eastAsia="Times New Roman" w:hAnsi="Times New Roman"/>
          <w:sz w:val="18"/>
          <w:szCs w:val="18"/>
          <w:color w:val="231F20"/>
        </w:rPr>
        <w:t>403</w:t>
      </w:r>
      <w:r>
        <w:rPr>
          <w:rFonts w:ascii="Times New Roman" w:cs="Times New Roman" w:eastAsia="Times New Roman" w:hAnsi="Times New Roman"/>
          <w:sz w:val="18"/>
          <w:szCs w:val="18"/>
          <w:color w:val="auto"/>
        </w:rPr>
        <w:t xml:space="preserve"> trademarks overseas. We have also registered </w:t>
      </w:r>
      <w:r>
        <w:rPr>
          <w:rFonts w:ascii="Times New Roman" w:cs="Times New Roman" w:eastAsia="Times New Roman" w:hAnsi="Times New Roman"/>
          <w:sz w:val="18"/>
          <w:szCs w:val="18"/>
          <w:color w:val="231F20"/>
        </w:rPr>
        <w:t>53</w:t>
      </w:r>
      <w:r>
        <w:rPr>
          <w:rFonts w:ascii="Times New Roman" w:cs="Times New Roman" w:eastAsia="Times New Roman" w:hAnsi="Times New Roman"/>
          <w:sz w:val="18"/>
          <w:szCs w:val="18"/>
          <w:color w:val="auto"/>
        </w:rPr>
        <w:t xml:space="preserve"> domain names globally.</w:t>
      </w:r>
    </w:p>
    <w:p>
      <w:pPr>
        <w:spacing w:after="0" w:line="187"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Despite our efforts to protect our proprietary rights, unauthorized parties may attempt to copy or otherwise obtain and use our technology. Monitoring unauthorized use of our intellectual property and proprietary rights is difficult and costly, and we cannot be certain that the steps we have taken will prevent misappropriation. From time to time, we may have to resort to litigation to enforce our intellectual property and proprietary rights, which could result in substantial costs and diversion of our resources. In addition, third parties may initiate lawsuits against us alleging infringement of their intellectual property or proprietary rights or declaring their non-infringement of our intellectual property or proprietary rights. In the event of a successful claim of infringement and our failure or inability to develop non-infringing technology or license the infringed or similar technology on a timely basis, our business could be harmed. Even if we are able to license the infringed or similar technology, license fees could be available only on commercially unreasonable and unfavorable terms, which may adversely affect our business, results of operations and financial condition. For additional information on the risks relating to intellectual property, see the section titled “Item 3. Key Information—3.D. Risk Factors— Risks Related to Our Business and Industry—We rely on patents, unpatented proprietary know-how, trade secrets and contractual restrictions to protect our intellectual property and other proprietary rights. Failure to adequately obtain, maintain, enforce and protect our intellectual property and other proprietary rights may undermine our competitive position and could materially and adversely affect our business, prospects, results of operations or financial condition,” and “Item 3. Key Information—3.D. Risk Factors—Risks Related to Our Business and Industry—We may be sued by third parties for alleged infringement, misappropriation or other violation of their proprietary technology or other intellectual property rights, which could be time-consuming and costly and result in significant legal liability or require us to cease using certain technology or other intellectual property rights, which could harm our business, financial condition, operating results, and reputation.”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Security and Privacy</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To enable our autonomous driving solutions, we collect, store, transmit and otherwise process data from vehicles, users, employees, drivers and other third parties, some of which may involve personal data or confidential or proprietary information, such as a user’s name, phone number, place of departure and destination. We have implemented and maintained data protection policies, including our data classification policy and data life cycle specification, which have been designed to ensure that the collection, use, storage, transmission and dissemination of such data are in compliance with applicable laws across jurisdictions in which we operate, including China, the United States and other applicable jurisdictions, and with prevalent industry practice. In particular, data collected in different markets across the globe are stored and maintained locally and separately from each other, in compliance with applicable local laws and regulations. We endeavor to keep our users informed of how their personal information is handled by us throughout its life cycle. Users may access our privacy policy on our official site, which describes the type of personal information we collect, and how we use, share and protect users’ personal information, among other information.</w:t>
      </w:r>
    </w:p>
    <w:p>
      <w:pPr>
        <w:spacing w:after="0" w:line="19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have established an all-round information system designed in compliance with data security requirements and best practices and intend to continually invest heavily in data security and privacy protection. Our information system applies multiple layers of safeguards, including internal and external firewalls, enterprise-standard web application firewalls, and risk management platform. We adopt various technical means including encryption, desensitization, verification and backup to ensure the confidentiality, integrity and availability of the data we collect throughout its life cycle. We implement a robust internal authentication and authorization system designed to ensure confidential and critical data can only be accessed by authorized staff. We have also completed certain information security, privacy and compliance certifications/validations. For instance, our system is on file with the relevant public security authorities in China with a Level 3 information system security level.</w:t>
      </w:r>
    </w:p>
    <w:p>
      <w:pPr>
        <w:spacing w:after="0" w:line="19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addition, we have a designated data security team and an incident response team comprising members across various disciplines to provide daily cybersecurity and data security protection support, including a quick, effective and orderly response to servers and personal information related potential or actual incidents such as virus infections, hacker attempts and break-ins, improper disclosure of confidential information, system service interruptions, breach of personal information, and other events with serious information security implications. Our data security team reports to our board of directors.</w:t>
      </w:r>
    </w:p>
    <w:p>
      <w:pPr>
        <w:sectPr>
          <w:pgSz w:w="11900" w:h="16838" w:orient="portrait"/>
          <w:cols w:equalWidth="0" w:num="1">
            <w:col w:w="9900"/>
          </w:cols>
          <w:pgMar w:left="980" w:top="513" w:right="101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of the date of this annual report, we have not received any claim from any third party against us alleging any violation of such party’s data privacy rights, and we have not experienced any material data loss or breach incidents. See “Item 3. Key Information—3.D. Risk Factors—Risks Related to Our Business and Industry—Any unauthorized access, collection, control, manipulation, interruption, compromise or improper disclosure of personal information, cyber-attacks or other security incidents or data breaches that affect our networks or systems, or those of our service providers or our customers and/or passengers, whether inadvertent or purposeful, could degrade our ability to conduct our business, compromise the integrity of our products and services or our platform and data, result in significant data losses or the theft of our intellectual property, damage our reputation, expose us to liability to third parties and require us to incur significant additional costs to maintain the security of our networks and data, in any case of the foregoing, which could adversely affect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are committed to promoting corporate social responsibility and sustainable development and integrating it into all major aspects of our business operations. Corporate social responsibility is viewed as part of our core growth philosophy that will be pivotal to our ability to create sustainable value for our shareholders by embracing diversity and public interests. Our board of directors will assume the critical role of evaluating and managing corporate social responsibility strategies and policies, including Ms. Asmau Ahmed, who is expected to bring her extensive expertise and experience in technological innovations to develop and implement our social responsibility initiatives as a leading technology company.</w:t>
      </w:r>
    </w:p>
    <w:p>
      <w:pPr>
        <w:spacing w:after="0" w:line="18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fully recognize our important role in society’s sustainable development and are committed to integrating environmental protection, social responsibility, and governance principles into business operations. Accordingly, we have implemented comprehensive internal Environmental, Social and Governance (“ESG”) policies that outline environmental protection and social responsibility objectives while providing practical guidance for daily operations.</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have established a top-down ESG management approach. The Board of Directors serves as the highest decision-making body for the Company’s ESG matters, responsible for evaluating and determining the ESG- related risks, ensuring that the Company establishes an appropriate and effective ESG risk management and internal monitoring system, identifying and evaluating the ESG strategies and objectives, and regularly supervising and reviewing the ESG performance and progress in accomplishing the ESG targets. At the management level, the Safety, Compliance and Sustainability Committee is responsible for organizing and carrying out the Company’s ESG management work in accordance with the Company’s overall ESG targets and strategies, formulating relevant systems and processes, and maintaining the ESG indicator framework. At the implementation level, each department and subsidiary of the Company is responsible for completing the tasks associated with ESG implementation, including processes establishments and improvements, and ESG practice activities organization.</w:t>
      </w:r>
    </w:p>
    <w:p>
      <w:pPr>
        <w:spacing w:after="0" w:line="188"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We are committed to fostering sustainable practices, promoting social responsibility, and maintaining strong governance standards, reflecting our dedication to ESG principles. We have established a set of ESG policies framework, which outlined, among others, (i) the roles and performance requirements of ESG management structure; (ii) ESG strategy formation procedures; (iii) ESG risk management and monitoring; and (iv) ESG reporting whole-process management.</w:t>
      </w:r>
    </w:p>
    <w:p>
      <w:pPr>
        <w:spacing w:after="0" w:line="180"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Under the supervision of the Board, we are adopting various strategies and measures to identify, assess, manage and mitigate ESG and climate-related risks, including but not limited to: (i) continuously tracking ESG regulatory related issues and updating our internal ESG policy to ensure the policy compliance; (ii) regularly hosting management discussion and meeting to ensure that all material ESG risks are identified and reported; (iii) establishing communication channels and ongoing discussions with key stakeholders to identify material ESG-related issues and risks associated with our business operations; (iv) engaging professional advisers to advise on ESG compliance matters.</w:t>
      </w:r>
    </w:p>
    <w:p>
      <w:pPr>
        <w:spacing w:after="0" w:line="187" w:lineRule="exact"/>
        <w:rPr>
          <w:sz w:val="20"/>
          <w:szCs w:val="20"/>
          <w:color w:val="auto"/>
        </w:rPr>
      </w:pPr>
    </w:p>
    <w:p>
      <w:pPr>
        <w:ind w:right="140" w:firstLine="324"/>
        <w:spacing w:after="0" w:line="281" w:lineRule="auto"/>
        <w:rPr>
          <w:sz w:val="20"/>
          <w:szCs w:val="20"/>
          <w:color w:val="auto"/>
        </w:rPr>
      </w:pPr>
      <w:r>
        <w:rPr>
          <w:rFonts w:ascii="Times New Roman" w:cs="Times New Roman" w:eastAsia="Times New Roman" w:hAnsi="Times New Roman"/>
          <w:sz w:val="17"/>
          <w:szCs w:val="17"/>
          <w:color w:val="auto"/>
        </w:rPr>
        <w:t>We are aware of the importance of environmental protection, strictly abide by the Environmental Protection Law of the People’s Republic of China and other relevant laws and regulations, carry out environmental protection publicity and education activities, and improve the environmental awareness of all employees. We are dedicated to providing green energy to society, fostering the sustainable growth of our enterprise, and realizing a mutually beneficial outcome between economic benefits and environmental stewardship.</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We are committed to contributing to our communities and understand the needs of the communities in which we operate. We have taken the following steps to support our community investment and charitable activities:</w:t>
      </w:r>
    </w:p>
    <w:p>
      <w:pPr>
        <w:spacing w:after="0" w:line="162" w:lineRule="exact"/>
        <w:rPr>
          <w:sz w:val="20"/>
          <w:szCs w:val="20"/>
          <w:color w:val="auto"/>
        </w:rPr>
      </w:pPr>
    </w:p>
    <w:p>
      <w:pPr>
        <w:ind w:left="660" w:right="60" w:hanging="328"/>
        <w:spacing w:after="0" w:line="260" w:lineRule="auto"/>
        <w:tabs>
          <w:tab w:leader="none" w:pos="660" w:val="left"/>
        </w:tabs>
        <w:numPr>
          <w:ilvl w:val="0"/>
          <w:numId w:val="4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Science Popularization and Education: In 2025, we organized a total of 54 science popularization and public welfare activities, reaching over 120,000 participants. Key initiatives included hosting autonomous driving exhibitions at the 2025 WAIC, organizing tech exchanges for international students and university delegations (such as Tsinghua University and the University of Hong Kong), and co-building the Greater Bay Area Autonomous Driving Science Popularization Center.</w:t>
      </w:r>
    </w:p>
    <w:p>
      <w:pPr>
        <w:spacing w:after="0" w:line="182" w:lineRule="exact"/>
        <w:rPr>
          <w:rFonts w:ascii="Arial" w:cs="Arial" w:eastAsia="Arial" w:hAnsi="Arial"/>
          <w:sz w:val="18"/>
          <w:szCs w:val="18"/>
          <w:b w:val="1"/>
          <w:bCs w:val="1"/>
          <w:color w:val="auto"/>
        </w:rPr>
      </w:pPr>
    </w:p>
    <w:p>
      <w:pPr>
        <w:ind w:left="660" w:right="140" w:hanging="328"/>
        <w:spacing w:after="0" w:line="260" w:lineRule="auto"/>
        <w:tabs>
          <w:tab w:leader="none" w:pos="660" w:val="left"/>
        </w:tabs>
        <w:numPr>
          <w:ilvl w:val="0"/>
          <w:numId w:val="4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Educational Support: We raised funds through annual charity auctions and online flea markets to sponsor 11 students from remote areas for a full year of study through the “UU Charity Association.” Overseas, our Fremont office partnered with the local NGO Abode to donate 100 sets of school supplies and backpacks to support homeless school-age children in returning to school.</w:t>
      </w:r>
    </w:p>
    <w:p>
      <w:pPr>
        <w:spacing w:after="0" w:line="182" w:lineRule="exact"/>
        <w:rPr>
          <w:rFonts w:ascii="Arial" w:cs="Arial" w:eastAsia="Arial" w:hAnsi="Arial"/>
          <w:sz w:val="18"/>
          <w:szCs w:val="18"/>
          <w:b w:val="1"/>
          <w:bCs w:val="1"/>
          <w:color w:val="auto"/>
        </w:rPr>
      </w:pPr>
    </w:p>
    <w:p>
      <w:pPr>
        <w:ind w:left="660" w:right="280" w:hanging="328"/>
        <w:spacing w:after="0" w:line="311" w:lineRule="auto"/>
        <w:tabs>
          <w:tab w:leader="none" w:pos="660" w:val="left"/>
        </w:tabs>
        <w:numPr>
          <w:ilvl w:val="0"/>
          <w:numId w:val="45"/>
        </w:numPr>
        <w:rPr>
          <w:rFonts w:ascii="Arial" w:cs="Arial" w:eastAsia="Arial" w:hAnsi="Arial"/>
          <w:sz w:val="17"/>
          <w:szCs w:val="17"/>
          <w:b w:val="1"/>
          <w:bCs w:val="1"/>
          <w:color w:val="auto"/>
        </w:rPr>
      </w:pPr>
      <w:r>
        <w:rPr>
          <w:rFonts w:ascii="Times New Roman" w:cs="Times New Roman" w:eastAsia="Times New Roman" w:hAnsi="Times New Roman"/>
          <w:sz w:val="17"/>
          <w:szCs w:val="17"/>
          <w:color w:val="auto"/>
        </w:rPr>
        <w:t>Community Care and Volunteer Services: Our volunteer teams visited the Beijing Tianyun Rehabilitation Center to donate essential living supplies, clothing, and toys to disabled children, providing warmth and companionship to vulnerable groups.</w:t>
      </w:r>
    </w:p>
    <w:p>
      <w:pPr>
        <w:spacing w:after="0" w:line="140" w:lineRule="exact"/>
        <w:rPr>
          <w:rFonts w:ascii="Arial" w:cs="Arial" w:eastAsia="Arial" w:hAnsi="Arial"/>
          <w:sz w:val="17"/>
          <w:szCs w:val="17"/>
          <w:b w:val="1"/>
          <w:bCs w:val="1"/>
          <w:color w:val="auto"/>
        </w:rPr>
      </w:pPr>
    </w:p>
    <w:p>
      <w:pPr>
        <w:jc w:val="both"/>
        <w:ind w:left="660" w:right="60" w:hanging="328"/>
        <w:spacing w:after="0" w:line="265" w:lineRule="auto"/>
        <w:tabs>
          <w:tab w:leader="none" w:pos="660" w:val="left"/>
        </w:tabs>
        <w:numPr>
          <w:ilvl w:val="0"/>
          <w:numId w:val="4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Rural Revitalization: Through the “Rural Chinese Dream” public welfare project, we hosted 50 youths, teachers, and grassroots workers from rural areas in Hunan and Gansu provinces. We provided them with hands-on AI and autonomous driving learning experiences to broaden their horizons and empower rural development with technology.</w:t>
      </w:r>
    </w:p>
    <w:p>
      <w:pPr>
        <w:spacing w:after="0" w:line="177" w:lineRule="exact"/>
        <w:rPr>
          <w:rFonts w:ascii="Arial" w:cs="Arial" w:eastAsia="Arial" w:hAnsi="Arial"/>
          <w:sz w:val="18"/>
          <w:szCs w:val="18"/>
          <w:b w:val="1"/>
          <w:bCs w:val="1"/>
          <w:color w:val="auto"/>
        </w:rPr>
      </w:pPr>
    </w:p>
    <w:p>
      <w:pPr>
        <w:ind w:left="660" w:right="480" w:hanging="328"/>
        <w:spacing w:after="0" w:line="265" w:lineRule="auto"/>
        <w:tabs>
          <w:tab w:leader="none" w:pos="660" w:val="left"/>
        </w:tabs>
        <w:numPr>
          <w:ilvl w:val="0"/>
          <w:numId w:val="4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Green Public Welfare: We actively participated in the “Zixia Jinfeng” tree-planting activity in Guangzhou to support rural ecological construction. Furthermore, we donated 5,400 recycled plastic bottles to sustainable brands for environmental regeneration, promoting resource recycling and a circular economy.</w:t>
      </w:r>
    </w:p>
    <w:p>
      <w:pPr>
        <w:spacing w:after="0" w:line="17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April 2026, we released our 2025 ESG report, which detailed our ESG performance in 2025 in key areas, driven by our mission: providing safe, advanced, and reliable full-stack autonomous driving technology to revolutionize the future of transportation. Guided by “Safety First” and a rigorous safety culture, we have embedded safety across technology development, operations, and management while advancing autonomous mobility and logistics through industry collaboration. We also monitor our long-term impact on road safety, transportation efficiency, energy structure, industrial development, and social inclusion, ensuring technology serves both people and the planet. Beyond innovation, we invest in employee well-being, community engagement, and public education to build trust and understanding. We will continue to strengthen our institutional frameworks and operational practices, advancing safety and responsibility in parallel, and enabling autonomous driving to contribute more meaningfully to social development. The information contained in our 2025 ESG report is not incorporated by reference into and should not be considered a part of this annual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face competition from primarily technology-focused companies building end-to-end technical capabilities for autonomous driving applications, and autonomous players building internal autonomous development programs. The principal competitive success factors in our market include but not limited to:</w:t>
      </w:r>
    </w:p>
    <w:p>
      <w:pPr>
        <w:spacing w:after="0" w:line="176"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Technology quality, safety and reliability;</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Vehicle engineering and integration capabilities;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Business model and go-to-market approach;</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Strategic partnerships;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Cost efficiency; and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Patents and intellectual property portfolio.</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Because of the depth and breadth of our talents, full-stack autonomous driving technology, differentiated go-to-market approach, and extensive strategic partnerships that drive commercialization at scale, we believe that we are able to compete favorably across these factors.</w:t>
      </w:r>
    </w:p>
    <w:p>
      <w:pPr>
        <w:spacing w:after="0" w:line="176"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See the section titled “Item 3. Key Information—3.D. Risk Factors” for a more comprehensive description of risks related to competition.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Foreign Investment</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Company Law of the PRC, promulgated by the Standing Committee of the National People’s Congress of the PRC (the “SCNPC”) on December 29, 1993, last amended on December 29, 2023 and came into effect on July 1, 2024, governs the establishment, operation and management of companies in the PRC, including foreign-invested companies. Unless foreign investment laws provide otherwise, foreign- invested companies shall abide by the Company Law of the PRC.</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January 1, 2020, the Foreign Investment Law of the PRC (the “</w:t>
      </w:r>
      <w:r>
        <w:rPr>
          <w:rFonts w:ascii="Times New Roman" w:cs="Times New Roman" w:eastAsia="Times New Roman" w:hAnsi="Times New Roman"/>
          <w:sz w:val="18"/>
          <w:szCs w:val="18"/>
          <w:b w:val="1"/>
          <w:bCs w:val="1"/>
          <w:color w:val="auto"/>
        </w:rPr>
        <w:t>FIL</w:t>
      </w:r>
      <w:r>
        <w:rPr>
          <w:rFonts w:ascii="Times New Roman" w:cs="Times New Roman" w:eastAsia="Times New Roman" w:hAnsi="Times New Roman"/>
          <w:sz w:val="18"/>
          <w:szCs w:val="18"/>
          <w:color w:val="auto"/>
        </w:rPr>
        <w:t>”) became effective and simultaneously replaced the prior laws regulating foreign investment in China, namely, the Sino-foreign Equity Joint Venture Enterprise Law of the PRC, the Sino-foreign Cooperative Joint Venture Enterprise Law of the PRC and the Wholly Foreign-invested Enterprise Law of the PRC, together with their implementation rules and ancillary regulations. Pursuant to the FIL, “foreign investments” refer to investment activities conducted by foreign investors directly or indirectly in the PRC, which include any of the following circumstances: (i) foreign investors setting up foreign-invested enterprises in the PRC solely or jointly with other investors, (ii) foreign investors obtaining shares, equity interests, property portions or other similar rights and interests of enterprises within the PRC, (iii) foreign investors investing in new projects in the PRC solely or jointly with other investors, and (iv) investment of other methods as specified in laws, administrative regulations, or as stipulated by the State Council.</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Pursuant to the FIL, China has adopted a system of pre-establishment national treatment plus a negative list with respect to foreign investment administration. The negative list shall be issued by, amended or released upon approval by the State Council, from time to time. The negative list sets forth industries in which foreign investments are prohibited and industries in which foreign investments are restricted. Foreign investment in prohibited industries is not allowed, while foreign investment in restricted industries must satisfy certain conditions stipulated in the negative list. Foreign investments and domestic investments in industries outside of the negative list will be treated equally. Additionally, the PRC authorities also maintain a catalogue which identifies industries in China where foreign investments are proactively encouraged. This catalogue often serves as a reference for local governments in China to formulate and implement their foreign investment support policies. The Special Administrative Measures (Negative List) for the Access of Foreign Investment (2024 Version), which was promulgated by the National Development and Reform Commission of the PRC (the “</w:t>
      </w:r>
      <w:r>
        <w:rPr>
          <w:rFonts w:ascii="Times New Roman" w:cs="Times New Roman" w:eastAsia="Times New Roman" w:hAnsi="Times New Roman"/>
          <w:sz w:val="18"/>
          <w:szCs w:val="18"/>
          <w:b w:val="1"/>
          <w:bCs w:val="1"/>
          <w:color w:val="auto"/>
        </w:rPr>
        <w:t>NDRC</w:t>
      </w:r>
      <w:r>
        <w:rPr>
          <w:rFonts w:ascii="Times New Roman" w:cs="Times New Roman" w:eastAsia="Times New Roman" w:hAnsi="Times New Roman"/>
          <w:sz w:val="18"/>
          <w:szCs w:val="18"/>
          <w:color w:val="auto"/>
        </w:rPr>
        <w:t>”) and the Ministry of Commerce of the PRC (the “</w:t>
      </w:r>
      <w:r>
        <w:rPr>
          <w:rFonts w:ascii="Times New Roman" w:cs="Times New Roman" w:eastAsia="Times New Roman" w:hAnsi="Times New Roman"/>
          <w:sz w:val="18"/>
          <w:szCs w:val="18"/>
          <w:b w:val="1"/>
          <w:bCs w:val="1"/>
          <w:color w:val="auto"/>
        </w:rPr>
        <w:t>MOFCOM</w:t>
      </w:r>
      <w:r>
        <w:rPr>
          <w:rFonts w:ascii="Times New Roman" w:cs="Times New Roman" w:eastAsia="Times New Roman" w:hAnsi="Times New Roman"/>
          <w:sz w:val="18"/>
          <w:szCs w:val="18"/>
          <w:color w:val="auto"/>
        </w:rPr>
        <w:t>”) on September 6, 2024 and became effective on November 1, 2024, and the Catalogue of Encouraged Industries for Foreign Investment (2022 Version), which was promulgated by the NDRC and the MOFCOM on October 26, 2022 and became effective on January 1, 2023, replace previous negative list and encouraging catalogue and list the categories of encouraged, restricted, and prohibited industries.</w:t>
      </w:r>
    </w:p>
    <w:p>
      <w:pPr>
        <w:spacing w:after="0" w:line="18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December 30, 2019, the MOFCOM and the SAMR jointly promulgated the Measures for Reporting of Information on Foreign Investment, which became effective on January 1, 2020 and pursuant to which, foreign investors or foreign-invested enterprises shall report investment information to the MOFCOM and its local counterparts when foreign investors carry out investment activities directly or indirectly within China, and its subsequent changes are required to submit an initial or change report through the enterprise registration system.</w:t>
      </w:r>
    </w:p>
    <w:p>
      <w:pPr>
        <w:spacing w:after="0" w:line="183" w:lineRule="exact"/>
        <w:rPr>
          <w:sz w:val="20"/>
          <w:szCs w:val="20"/>
          <w:color w:val="auto"/>
        </w:rPr>
      </w:pPr>
    </w:p>
    <w:p>
      <w:pPr>
        <w:ind w:right="580" w:firstLine="324"/>
        <w:spacing w:after="0" w:line="266" w:lineRule="auto"/>
        <w:rPr>
          <w:sz w:val="20"/>
          <w:szCs w:val="20"/>
          <w:color w:val="auto"/>
        </w:rPr>
      </w:pPr>
      <w:r>
        <w:rPr>
          <w:rFonts w:ascii="Times New Roman" w:cs="Times New Roman" w:eastAsia="Times New Roman" w:hAnsi="Times New Roman"/>
          <w:sz w:val="18"/>
          <w:szCs w:val="18"/>
          <w:color w:val="auto"/>
        </w:rPr>
        <w:t>Pursuant to the Measures for the Security Review of Foreign Investment promulgated by the NDRC and the MOFCOM on December 19, 2020 and became effective on January 18, 2021, any foreign investment that has or possibly has an impact on state security shall be subject to security review in accordance with the provisions hereof.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business is permitted under the applicable PRC foreign investment regulations and no part of our business falls under either the prohibited or restricted categories under the PRC Special Administrative Measures (Negative List) for the Access of Foreign Investment (2024 Version). Additionally, the development and application of autonomous driving system is included in the PRC Catalogue of Encouraged Industries for Foreign Investment (2022 Version) as an industry in China where foreign investments are proactively encouraged. However, we have not received any specific benefits or preferential treatment as a result of this inclusion. With respect to the former VIEs that we used to have, such former VIEs, before the termination of their VIE arrangements, did not engage in any business or hold any license that is subject to PRC foreign investment restrictions or prohibitions. We initially established these former VIEs solely for the purposes of preserving the flexibility to potentially engage in future business that may be subject to such PRC restrictions or prohibitions (although we have never engaged in such business to date). The former VIE arrangements were terminated by our WFOEs’ acquisition of the equity interests in the former VIEs. There has not been any change to the nature or extent of the former VIEs’ business activities after the termination of the VIE arrangements and this termination did not involve the transfer of any operation, technology or license of the former VIEs to any third party.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Autonomous Driving</w:t>
      </w:r>
    </w:p>
    <w:p>
      <w:pPr>
        <w:spacing w:after="0" w:line="22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July 27, 2021, the Ministry of Industry and Information Technology (the “</w:t>
      </w:r>
      <w:r>
        <w:rPr>
          <w:rFonts w:ascii="Times New Roman" w:cs="Times New Roman" w:eastAsia="Times New Roman" w:hAnsi="Times New Roman"/>
          <w:sz w:val="18"/>
          <w:szCs w:val="18"/>
          <w:b w:val="1"/>
          <w:bCs w:val="1"/>
          <w:color w:val="auto"/>
        </w:rPr>
        <w:t>MIIT</w:t>
      </w:r>
      <w:r>
        <w:rPr>
          <w:rFonts w:ascii="Times New Roman" w:cs="Times New Roman" w:eastAsia="Times New Roman" w:hAnsi="Times New Roman"/>
          <w:sz w:val="18"/>
          <w:szCs w:val="18"/>
          <w:color w:val="auto"/>
        </w:rPr>
        <w:t>”), the Ministry of Public Security (the “</w:t>
      </w:r>
      <w:r>
        <w:rPr>
          <w:rFonts w:ascii="Times New Roman" w:cs="Times New Roman" w:eastAsia="Times New Roman" w:hAnsi="Times New Roman"/>
          <w:sz w:val="18"/>
          <w:szCs w:val="18"/>
          <w:b w:val="1"/>
          <w:bCs w:val="1"/>
          <w:color w:val="auto"/>
        </w:rPr>
        <w:t>MPS</w:t>
      </w:r>
      <w:r>
        <w:rPr>
          <w:rFonts w:ascii="Times New Roman" w:cs="Times New Roman" w:eastAsia="Times New Roman" w:hAnsi="Times New Roman"/>
          <w:sz w:val="18"/>
          <w:szCs w:val="18"/>
          <w:color w:val="auto"/>
        </w:rPr>
        <w:t>”) and the Ministry of Transport (the “</w:t>
      </w:r>
      <w:r>
        <w:rPr>
          <w:rFonts w:ascii="Times New Roman" w:cs="Times New Roman" w:eastAsia="Times New Roman" w:hAnsi="Times New Roman"/>
          <w:sz w:val="18"/>
          <w:szCs w:val="18"/>
          <w:b w:val="1"/>
          <w:bCs w:val="1"/>
          <w:color w:val="auto"/>
        </w:rPr>
        <w:t>MOT</w:t>
      </w:r>
      <w:r>
        <w:rPr>
          <w:rFonts w:ascii="Times New Roman" w:cs="Times New Roman" w:eastAsia="Times New Roman" w:hAnsi="Times New Roman"/>
          <w:sz w:val="18"/>
          <w:szCs w:val="18"/>
          <w:color w:val="auto"/>
        </w:rPr>
        <w:t>”) promulgated the Administrative Norms for Road Testing and Demonstrative Application of Intelligent Connected Vehicles (for Trial Implementation) (the “</w:t>
      </w:r>
      <w:r>
        <w:rPr>
          <w:rFonts w:ascii="Times New Roman" w:cs="Times New Roman" w:eastAsia="Times New Roman" w:hAnsi="Times New Roman"/>
          <w:sz w:val="18"/>
          <w:szCs w:val="18"/>
          <w:b w:val="1"/>
          <w:bCs w:val="1"/>
          <w:color w:val="auto"/>
        </w:rPr>
        <w:t>Road Testing Administrative Norms</w:t>
      </w:r>
      <w:r>
        <w:rPr>
          <w:rFonts w:ascii="Times New Roman" w:cs="Times New Roman" w:eastAsia="Times New Roman" w:hAnsi="Times New Roman"/>
          <w:sz w:val="18"/>
          <w:szCs w:val="18"/>
          <w:color w:val="auto"/>
        </w:rPr>
        <w:t>”), which came into effect on July 27, 2021 and replaced the Norms on Administration of Road Testing of Autonomous Driving Vehicles (Trial Implementation) issued in April 2018. The Road Testing Administrative Norms is the main national level regulation on road testing of autonomous driving vehicles in the PRC, under which, road testing refers to the testing of autonomous driving function of intelligent connected vehicles (a PRC regulatory concept that encompasses autonomous driving vehicles) carried out on the designated sections of highways, urban roads and other roads used for the passage of public motor vehicles, and “demonstrative application” of such vehicles refers to pilot and experimental activities of driving such vehicles with passengers and goods, which are carried out on designated sections of certain roads that are used for passage of public motor vehicles.</w:t>
      </w:r>
    </w:p>
    <w:p>
      <w:pPr>
        <w:spacing w:after="0" w:line="189"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7"/>
          <w:szCs w:val="17"/>
          <w:color w:val="auto"/>
        </w:rPr>
        <w:t>Pursuant to the Road Testing Administrative Norms, any entity intending to conduct a road testing of autonomous driving vehicles must obtain a road-testing certificate and a temporary license plate for each tested vehicle. To qualify for these required licenses, an autonomous driving applicant entity must satisfy, among others, the following requirements: (i) it must be an independent legal person registered in the PRC with the capacity to conduct businesses in relation to intelligent connected vehicles, such as manufacturing, R&amp;D and testing of vehicles and vehicle parts, which has established protocol to test and assess the performance of autonomous driving system and is capable of conducting real-time remote monitoring of the tested vehicles, and with the ability of event recording, analysis and reproduction of the vehicles under road testing and ensuring the network security of the vehicles and the remote monitoring platforms;</w:t>
      </w:r>
    </w:p>
    <w:p>
      <w:pPr>
        <w:spacing w:after="0" w:line="2" w:lineRule="exact"/>
        <w:rPr>
          <w:sz w:val="20"/>
          <w:szCs w:val="20"/>
          <w:color w:val="auto"/>
        </w:rPr>
      </w:pPr>
    </w:p>
    <w:p>
      <w:pPr>
        <w:ind w:right="60" w:firstLine="8"/>
        <w:spacing w:after="0" w:line="251" w:lineRule="auto"/>
        <w:tabs>
          <w:tab w:leader="none" w:pos="26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vehicles must be equipped with a driving system that can switch between autonomous pilot mode and human driving mode in a safe, quick and simple manner and allows human driver to take control of the vehicle instantaneously when necessary; (iii) the vehicles must be equipped with the functions of recording, storing and real-time monitoring the condition of the vehicle and be able to transmit real-time data of the vehicle; (iv) the applicant entity must sign an employment or labor service contract with the driver of the tested vehicle, who must be a licensed driver with more than three years’ driving experience and a track record of safe driving and is familiar with the testing protocol for autonomous driving system and proficient in operating the system; (v) the applicant entity must insure each tested vehicle for at least RMB5 million against car accidents or provide a letter of guarantee covering the same. The testing duration for a road testing should not exceed 18 months in principle, and should not exceed the validity period of the certificate of safety technical inspection and the insurance voucher of the tested vehicle.</w:t>
      </w:r>
    </w:p>
    <w:p>
      <w:pPr>
        <w:spacing w:after="0" w:line="193"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Pursuant to the Road Testing Administrative Norms, a road-testing entity and a demonstrative application entity must submit a periodic report every 6 months to the competent governmental authority and provide a summary report within 1 month upon conclusion of the road testing or demonstrative application. The entity responsible for the road testing or the demonstrative application must report information on the traffic accidents during the road testing or demonstrative application to the competent authorities on a monthly basis. In case of any traffic violation, the traffic administrative department of the public security department must impose the penalties on the responsible parties in accordance with the laws and regulations on road traffic safety. In the case of serious injuries or deaths of any person or serious damage of a vehicle, the entity responsible for the road testing or the demonstrative application must report such accident to the competent governmental authority within 24 hours, and if such entity fails to report as required, its road testing or demonstrative application activities may be suspended for 24 months.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20" w:firstLine="324"/>
        <w:spacing w:after="0" w:line="254" w:lineRule="auto"/>
        <w:rPr>
          <w:sz w:val="20"/>
          <w:szCs w:val="20"/>
          <w:color w:val="auto"/>
        </w:rPr>
      </w:pPr>
      <w:r>
        <w:rPr>
          <w:rFonts w:ascii="Times New Roman" w:cs="Times New Roman" w:eastAsia="Times New Roman" w:hAnsi="Times New Roman"/>
          <w:sz w:val="18"/>
          <w:szCs w:val="18"/>
          <w:color w:val="auto"/>
        </w:rPr>
        <w:t>On July 30, 2021, the MIIT issued the Opinion on Strengthening the Access Administration of Intelligent Connected Vehicles Manufacturing Enterprises and Their Products, which strengthens the safety management of products with autopilot function and provides that such products shall at least meet the requirements as follows: (i) being able to automatically identify the failure of the autopilot system and whether the designed operating conditions are continuously satisfied, and to take measures to minimize risks; (ii) having the function of human-computer interaction to display the operating status of the autopilot system; (iii) having the event data recording system and the autopilot data recording system; (iv) satisfying the process assurance requirements, such as functional safety and network security, as well as testing requirements in relation to simulation, roads, network security, software upgrading and data recording.</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August 25, 2022, the Ministry of Natural Resources issued the Notice on Promoting the Development of Intelligent Connected Vehicles and Maintaining the Security of Surveying, Mapping and Geo-information, which among others, provides that for any vehicle manufacturer, service provider or autonomous driving software provider that engages in the collection, storage, transmission and processing of certain geo-information that is surveying and mapping data in nature, if it is a domestic enterprise, it shall obtain the surveying and mapping qualification in accordance with the law or engage an agency with such qualification to carry out the surveying and mapping activities; if it is a foreign-invested enterprise, it shall engage an agency with such qualification to carry out the surveying and mapping activities. Pursuant to the Surveying and Mapping Law, which was promulgated by the Standing Committee of the National People’s Congress (the “</w:t>
      </w:r>
      <w:r>
        <w:rPr>
          <w:rFonts w:ascii="Times New Roman" w:cs="Times New Roman" w:eastAsia="Times New Roman" w:hAnsi="Times New Roman"/>
          <w:sz w:val="18"/>
          <w:szCs w:val="18"/>
          <w:b w:val="1"/>
          <w:bCs w:val="1"/>
          <w:color w:val="auto"/>
        </w:rPr>
        <w:t>SCNPC</w:t>
      </w:r>
      <w:r>
        <w:rPr>
          <w:rFonts w:ascii="Times New Roman" w:cs="Times New Roman" w:eastAsia="Times New Roman" w:hAnsi="Times New Roman"/>
          <w:sz w:val="18"/>
          <w:szCs w:val="18"/>
          <w:color w:val="auto"/>
        </w:rPr>
        <w:t>”) on December 28, 1992, and last amended on April 27, 2017 and became effective on July 1, 2017, conducting surveying and mapping activities without obtaining the necessary qualification may be ordered to cease such activities, and the unlawful gains from the surveying and mapping activities shall be confiscated. In addition, a fine of not less than one time but not more than two times of the unlawful gains from the activities may be imposed on.</w:t>
      </w:r>
    </w:p>
    <w:p>
      <w:pPr>
        <w:spacing w:after="0" w:line="192"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None of our company, our subsidiaries or the former VIEs (before or after the termination of the former VIE arrangements) has engaged in any mapping or surveying activities, or holding the requisite license (which is currently subject to foreign investment prohibition and available exclusively to PRC domestic companies). Rather, our subsidiaries and the former VIEs (which subsequently became our wholly-owned subsidiaries) have been procuring standard and ancillary mapping and surveying services that support their autonomous driving algorithms and functions from independent third-party mapping data and surveying suppliers holding the relevant mapping and surveying license in China. This decision was made not due to a lack of technological capability, but rather both from an economic perspective and for PRC regulatory compliance reasons. In China, such services are generally readily attainable on reasonable terms from a number of renowned domestic technology firms specialized in digital maps and related data services (including, but not limited to, those engaged by us). Those firms provide standard mapping and surveying services not only to autonomous driving companies like us but also to automakers and other ride-hailing and logistics companies. The following table sets forth certain details of our collaboration with the three independent qualified mapping and surveying service providers in China that we transact with in 2025. These providers deliver a range of services pursuant to arm’s-length terms typically ranging from one to three years, some of which include renewal options. We do not substantially rely on any of these service providers, and we consider alternative service providers to be readily available in the PRC market, should we decide to replace any of these service providers.</w:t>
      </w:r>
    </w:p>
    <w:p>
      <w:pPr>
        <w:sectPr>
          <w:pgSz w:w="11900" w:h="16838" w:orient="portrait"/>
          <w:cols w:equalWidth="0" w:num="1">
            <w:col w:w="9900"/>
          </w:cols>
          <w:pgMar w:left="980" w:top="513" w:right="1019" w:bottom="1440" w:gutter="0" w:footer="0" w:header="0"/>
        </w:sectPr>
      </w:pP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Service</w:t>
            </w:r>
          </w:p>
        </w:tc>
        <w:tc>
          <w:tcPr>
            <w:tcW w:w="160" w:type="dxa"/>
            <w:vAlign w:val="bottom"/>
          </w:tcPr>
          <w:p>
            <w:pPr>
              <w:spacing w:after="0"/>
              <w:rPr>
                <w:sz w:val="13"/>
                <w:szCs w:val="13"/>
                <w:color w:val="auto"/>
              </w:rPr>
            </w:pPr>
          </w:p>
        </w:tc>
        <w:tc>
          <w:tcPr>
            <w:tcW w:w="27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Background Information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Provider</w:t>
            </w:r>
          </w:p>
        </w:tc>
        <w:tc>
          <w:tcPr>
            <w:tcW w:w="160" w:type="dxa"/>
            <w:vAlign w:val="bottom"/>
          </w:tcPr>
          <w:p>
            <w:pPr>
              <w:spacing w:after="0"/>
              <w:rPr>
                <w:sz w:val="15"/>
                <w:szCs w:val="15"/>
                <w:color w:val="auto"/>
              </w:rPr>
            </w:pPr>
          </w:p>
        </w:tc>
        <w:tc>
          <w:tcPr>
            <w:tcW w:w="2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3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Amap</w:t>
            </w:r>
          </w:p>
        </w:tc>
        <w:tc>
          <w:tcPr>
            <w:tcW w:w="160" w:type="dxa"/>
            <w:vAlign w:val="bottom"/>
          </w:tcPr>
          <w:p>
            <w:pPr>
              <w:spacing w:after="0"/>
              <w:rPr>
                <w:sz w:val="16"/>
                <w:szCs w:val="16"/>
                <w:color w:val="auto"/>
              </w:rPr>
            </w:pPr>
          </w:p>
        </w:tc>
        <w:tc>
          <w:tcPr>
            <w:tcW w:w="2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 leading domestic digital map,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navigation, and location service</w:t>
            </w:r>
          </w:p>
        </w:tc>
        <w:tc>
          <w:tcPr>
            <w:tcW w:w="0" w:type="dxa"/>
            <w:vAlign w:val="bottom"/>
          </w:tcPr>
          <w:p>
            <w:pPr>
              <w:spacing w:after="0"/>
              <w:rPr>
                <w:sz w:val="1"/>
                <w:szCs w:val="1"/>
                <w:color w:val="auto"/>
              </w:rPr>
            </w:pPr>
          </w:p>
        </w:tc>
      </w:tr>
      <w:tr>
        <w:trPr>
          <w:trHeight w:val="216"/>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NavInfo</w:t>
            </w:r>
          </w:p>
        </w:tc>
        <w:tc>
          <w:tcPr>
            <w:tcW w:w="2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provide</w:t>
            </w:r>
          </w:p>
        </w:tc>
        <w:tc>
          <w:tcPr>
            <w:tcW w:w="0" w:type="dxa"/>
            <w:vAlign w:val="bottom"/>
          </w:tcPr>
          <w:p>
            <w:pPr>
              <w:spacing w:after="0"/>
              <w:rPr>
                <w:sz w:val="1"/>
                <w:szCs w:val="1"/>
                <w:color w:val="auto"/>
              </w:rPr>
            </w:pPr>
          </w:p>
        </w:tc>
      </w:tr>
      <w:tr>
        <w:trPr>
          <w:trHeight w:val="216"/>
        </w:trPr>
        <w:tc>
          <w:tcPr>
            <w:tcW w:w="1340" w:type="dxa"/>
            <w:vAlign w:val="bottom"/>
            <w:gridSpan w:val="2"/>
            <w:vMerge w:val="continue"/>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 top-tier domestic supplier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integrated solutions for smart</w:t>
            </w:r>
          </w:p>
        </w:tc>
        <w:tc>
          <w:tcPr>
            <w:tcW w:w="0" w:type="dxa"/>
            <w:vAlign w:val="bottom"/>
          </w:tcPr>
          <w:p>
            <w:pPr>
              <w:spacing w:after="0"/>
              <w:rPr>
                <w:sz w:val="1"/>
                <w:szCs w:val="1"/>
                <w:color w:val="auto"/>
              </w:rPr>
            </w:pPr>
          </w:p>
        </w:tc>
      </w:tr>
      <w:tr>
        <w:trPr>
          <w:trHeight w:val="216"/>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Xianli</w:t>
            </w:r>
          </w:p>
        </w:tc>
        <w:tc>
          <w:tcPr>
            <w:tcW w:w="2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mobility applications</w:t>
            </w:r>
          </w:p>
        </w:tc>
        <w:tc>
          <w:tcPr>
            <w:tcW w:w="0" w:type="dxa"/>
            <w:vAlign w:val="bottom"/>
          </w:tcPr>
          <w:p>
            <w:pPr>
              <w:spacing w:after="0"/>
              <w:rPr>
                <w:sz w:val="1"/>
                <w:szCs w:val="1"/>
                <w:color w:val="auto"/>
              </w:rPr>
            </w:pPr>
          </w:p>
        </w:tc>
      </w:tr>
      <w:tr>
        <w:trPr>
          <w:trHeight w:val="216"/>
        </w:trPr>
        <w:tc>
          <w:tcPr>
            <w:tcW w:w="1340" w:type="dxa"/>
            <w:vAlign w:val="bottom"/>
            <w:gridSpan w:val="2"/>
            <w:vMerge w:val="continue"/>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 leading domestic supplier of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annotation services for autonomous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driving and other commercial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applications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Principal Services Procured by Pony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168021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 xml:space="preserve">Real-time maps and transit information on the </w:t>
      </w:r>
      <w:r>
        <w:rPr>
          <w:rFonts w:ascii="Times New Roman" w:cs="Times New Roman" w:eastAsia="Times New Roman" w:hAnsi="Times New Roman"/>
          <w:sz w:val="18"/>
          <w:szCs w:val="18"/>
          <w:i w:val="1"/>
          <w:iCs w:val="1"/>
          <w:color w:val="auto"/>
        </w:rPr>
        <w:t>PonyPilot</w:t>
      </w:r>
      <w:r>
        <w:rPr>
          <w:rFonts w:ascii="Times New Roman" w:cs="Times New Roman" w:eastAsia="Times New Roman" w:hAnsi="Times New Roman"/>
          <w:sz w:val="18"/>
          <w:szCs w:val="18"/>
          <w:color w:val="auto"/>
        </w:rPr>
        <w:t xml:space="preserve"> mobile app and web page Provision of high-definition digital maps</w:t>
      </w:r>
    </w:p>
    <w:p>
      <w:pPr>
        <w:spacing w:after="0" w:line="189"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The collection and handling of mapping and surveying related data</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b w:val="1"/>
          <w:bCs w:val="1"/>
          <w:color w:val="auto"/>
        </w:rPr>
        <w:t>Fee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17399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One-time fixed service fees for the entire contract term</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One-time fixed service fees for the entire contract term</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Service fees determined based on factors including the data quantities and complexity of deliverables and outputs</w:t>
      </w:r>
    </w:p>
    <w:p>
      <w:pPr>
        <w:spacing w:after="0" w:line="200" w:lineRule="exact"/>
        <w:rPr>
          <w:sz w:val="20"/>
          <w:szCs w:val="20"/>
          <w:color w:val="auto"/>
        </w:rPr>
      </w:pPr>
    </w:p>
    <w:p>
      <w:pPr>
        <w:sectPr>
          <w:pgSz w:w="11900" w:h="16838" w:orient="portrait"/>
          <w:cols w:equalWidth="0" w:num="3">
            <w:col w:w="4200" w:space="180"/>
            <w:col w:w="2560" w:space="240"/>
            <w:col w:w="2720"/>
          </w:cols>
          <w:pgMar w:left="980" w:top="513" w:right="1019"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August 20, 2021, the MIIT promulgated the Taxonomy of Driving Automation for Vehicles, which became effective on March 1, 2022. It provides for six levels from Level 0 to 5 for the taxonomy of driving automation, among which Level 2 refers to combined driving assistance, Level 3 refers to conditionally- automated driving, Level 4 refers to highly-automated driving and Level 5 refers to fully-automated driving. On November 17, 2023, the MIIT, the MPS, the Ministry of Housing and Urban-Rural Development and the MOT promulgated the Notice on Carrying out the Pilot Program of Market Access and Road Passage for Intelligent Connected Vehicles, which provides that the aforementioned authorities will select intelligent connected vehicle products with Level 3 and Level 4 qualified for mass production as the pilot program of market access, and launch the pilot program of road passage for intelligent connected vehicle products that have been granted access within specified areas. On November 21, 2023, the MOT issued the Guideline on Transport Safety and Service for Autonomous Vehicles (Trial Implementation), which specifically provides the requirements for commercial operation of autonomous vehicles in respect of the scope of application, basic principles, application scenarios, operators of autopilot transport, transport vehicles, staffing, safety assurance, supervision and administration. On July 26, 2024, the Ministry of Natural Resources promulgated The Notice of the Ministry of Natural Resources on Strengthening the Administration of Surveying, Mapping and Geoinformation Security Relating to Intelligent Connected Vehicles, and emphasized various related matters, including the requirement of conducting surveying and mapping activities related to intelligent connected vehicles in accordance with the law, strengthening the management of surveying and mapping activities involving intelligent connected vehicles, strictly managing confidential and sensitive geographic information data, strictly reviewing electronic navigation maps, implementing the requirements for the storage of geoinformation data and cross-border transfer of such data, strengthening the regulation of geoinformation security, encouraging the exploration of geographic information security application, etc.</w:t>
      </w:r>
    </w:p>
    <w:p>
      <w:pPr>
        <w:spacing w:after="0" w:line="192"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A number of local governments in China, such as Beijing, Guangzhou, Shanghai and Shenzhen, have also released rules that regulate road testing and application of autonomous driving vehicles. For example, Beijing Municipal Commission of Transport, Beijing Municipal Bureau of Public Security and Beijing Municipal Bureau of Economy and Information Technology promulgated the Implementing Rules for Road Testing Management of Autonomous Vehicles (for Trial Implementation), effective on November 12, 2020, which stipulates the detailed procedures and requirements for road testing and trial operations in Beijing, including those for general technical test, special weather test, highway test, driverless test, etc. On July 8, 2021, Guangzhou Municipal Industry and Information Technology Bureau promulgated the Opinions on Gradually Launching Regional Piloting Policies for the Application, Demonstration and Operation of Intelligent Connected Vehicles (Automatic Driving) under Different Mixed Environments, and the Work Plan for the Application, Demonstration and Operation of Intelligent Connected Vehicles (Automatic Driving) under Different Mixed Environments, which among others, provide that intelligent connected vehicles (autonomous driving) may be used to carry out passenger transport activities, such as taxis and buses, and carry out ordinary road freight transport (except for dangerous goods) and other demonstrative operations, provided that the relevant license, permit and other regulatory requirements are met. On November 11, 2024, Guangzhou Municipal Industry and Information Technology Bureau promulgated the Work Plan for the Application, Demonstration and Operation of Intelligent Connected Vehicles (Automatic Driving) under Different Mixed Environments (Second Version).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Road Transport</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Pursuant to the Regulations on Road Transport, which was promulgated by the State Council on April 30, 2004, last amended on January 30, 2026, and became effective on March 20, 2026, operators engaging in the road passenger transport business operations, the road freight transport business operations and road transport related business shall abide by this regulation. An operator may engage in freight transport business only after obtaining a road transport business operation license, except for those operators that use any general freight transport vehicle with a total mass of 4.5 tons or below to engage in the general freight transport business operations. In addition, any vehicle used by freight transport business operators for transportation shall obtain a vehicle operation certificate, except for those vehicles with a total mass of 4.5 tons or below. The road transport business operation license as well as the vehicle operation certificate are also required for operating the road passenger transport business.</w:t>
      </w:r>
    </w:p>
    <w:p>
      <w:pPr>
        <w:spacing w:after="0" w:line="19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Pursuant to the Administrative Provisions on Road Freight Transport and Stations promulgated by the MOT on June 16, 2005, last amended on November 10, 2023 and became effective on the same date, an operator of road freight transport shall engage in business operations of road freight transport within the business scope as specified in the operation license for road transport and shall hire drivers with practice qualification certificates as required by the relevant provisions. If an operator intends to establish a branch engaging in road freight transport business, it shall file for record with the competent road transport department of the place where the branch is to be established.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71" w:lineRule="auto"/>
        <w:rPr>
          <w:sz w:val="20"/>
          <w:szCs w:val="20"/>
          <w:color w:val="auto"/>
        </w:rPr>
      </w:pPr>
      <w:r>
        <w:rPr>
          <w:rFonts w:ascii="Times New Roman" w:cs="Times New Roman" w:eastAsia="Times New Roman" w:hAnsi="Times New Roman"/>
          <w:sz w:val="17"/>
          <w:szCs w:val="17"/>
          <w:color w:val="auto"/>
        </w:rPr>
        <w:t>On August 11, 2021, the MOT promulgated the Provisions on the Administration of Cruising Taxi Operating Services (2021 Amended Version), which provides that cruising taxi operating services refer to the business activities of cruising on the street for attracting customers or waiting for passengers at taxi ranks, spraying and installing the taxi logos, providing travelling services for passengers through the passenger cars with seven seats or less and driving services, driving according to the wishes of passengers, and charging fares by mileage and time. Operators shall apply to the local government for providing cruising taxi services, and the local government shall issue a written decision on approving administrative licensing for cruising taxi operation, specify the business scope, the operating areas, the number of vehicles and the requirements therefor, the valid period of the right to operate cruising taxis, and other matters, and issue the road transport business license to the applicant, if the applicant is satisfied with the requirements. After verifying that the vehicles comply with the relevant requirements, the licensing authority shall issue the road transport certificates to the vehicles.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Road Traffic Safety</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Road Traffic Safety Law, which promulgated by the SCNPC on October 28, 2003, and last amended and became effective on April 29, 2021, sets out the basic framework for road traffic safety and provides the rules for the drivers of vehicles, pedestrians, passengers and the entities and individuals involved in road traffic activities. Pursuant to the Road Traffic Safety Law, the relevant traffic control department of the public security authorities shall be in charge of determination of responsibilities in traffic accidents, which is also reiterated and brought into details by the last amended Regulation for the Implementation of the Road Traffic Safety Law of the PRC promulgated by the State Council on October 7, 2017.</w:t>
      </w:r>
    </w:p>
    <w:p>
      <w:pPr>
        <w:spacing w:after="0" w:line="18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March 24, 2021, the MPS issued the Draft Proposed Amendments of the Road Traffic Safety Law (the “</w:t>
      </w:r>
      <w:r>
        <w:rPr>
          <w:rFonts w:ascii="Times New Roman" w:cs="Times New Roman" w:eastAsia="Times New Roman" w:hAnsi="Times New Roman"/>
          <w:sz w:val="18"/>
          <w:szCs w:val="18"/>
          <w:b w:val="1"/>
          <w:bCs w:val="1"/>
          <w:color w:val="auto"/>
        </w:rPr>
        <w:t>MPS Proposed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Amendments</w:t>
      </w:r>
      <w:r>
        <w:rPr>
          <w:rFonts w:ascii="Times New Roman" w:cs="Times New Roman" w:eastAsia="Times New Roman" w:hAnsi="Times New Roman"/>
          <w:sz w:val="18"/>
          <w:szCs w:val="18"/>
          <w:color w:val="auto"/>
        </w:rPr>
        <w:t>”). The MPS Proposed Amendments clarify, among others, the requirements related to road testing of, and access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vehicles equipped with autonomous driving functions, as well as regulating how liability for traffic violations and accidents will be allocated. The MPS Proposed Amendments stipulate that vehicles equipped with autonomous driving functions should first pass tests in closed roads and venues and obtain temporary license plates before embarking on road testing. The MPS Proposed Amendments provide that when vehicles equipped with autonomous driving functions and human driving modes are involved in road traffic violations or accidents, the responsibility of the driver or the autonomous driving system developer shall be determined in accordance with laws, as well as the liability for damage. For vehicles on the road that are equipped with autonomous driving functions without human driving modes, this liability issue should be separately dealt with by relevant departments of the State Council. However, the last amended Road Traffic Safety Law did not adopt the aforementioned proposed amendments.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Cybersecurity, Information Security, Privacy and Data Protection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Pursuant to the National Security Law of the PRC promulgated by the SCNPC on February 22, 1993 and latest amended and became effective on July 1, 2015, the state shall establish systems and mechanisms for national security review and supervision, conduct national security review on key technology, network information technology products and services related to state security, so as to prevent and neutralize state security risks in an effective way. On November 7, 2016, the SCNPC promulgated the Cybersecurity Law of the PRC (the “</w:t>
      </w:r>
      <w:r>
        <w:rPr>
          <w:rFonts w:ascii="Times New Roman" w:cs="Times New Roman" w:eastAsia="Times New Roman" w:hAnsi="Times New Roman"/>
          <w:sz w:val="18"/>
          <w:szCs w:val="18"/>
          <w:b w:val="1"/>
          <w:bCs w:val="1"/>
          <w:color w:val="auto"/>
        </w:rPr>
        <w:t>Cybersecurity Law</w:t>
      </w:r>
      <w:r>
        <w:rPr>
          <w:rFonts w:ascii="Times New Roman" w:cs="Times New Roman" w:eastAsia="Times New Roman" w:hAnsi="Times New Roman"/>
          <w:sz w:val="18"/>
          <w:szCs w:val="18"/>
          <w:color w:val="auto"/>
        </w:rPr>
        <w:t>”), which became effective on June 1, 2017 and was last amended on October 28, 2025 with such amendments effective on January 1, 2026. The Cybersecurity Law requires network operators to perform certain functions related to cyber security protection and strengthen the network information management. For instance, under the Cybersecurity Law, network operators of critical information infrastructure generally shall, during their operations in the PRC, store the personal information and important data collected and produced within the territory of the PRC, fulfill additional obligations of security protection, and are subject to cybersecurity review when purchasing of network products and services that may threaten the national security. When collecting and using personal information, in accordance with the Cybersecurity Law, network operators shall abide by the “lawful, justifiable and necessary” principles. Network operators shall collect and use personal information by announcing rules for collection and use, expressly notify the purpose, methods and scope of such collection and use, and obtain the consent of the person whose personal information is to be collected. Network operators shall not disclose, tamper with or destroy personal information that it has collected, or disclose such information to others without prior consent of the person whose personal information has been collected, unless such information has been processed to prevent specific person from being identified and such information from being restored.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On July 30, 2021, the State Council promulgated the Regulations on Security Protection of Critical Information Infrastructure (the “</w:t>
      </w:r>
      <w:r>
        <w:rPr>
          <w:rFonts w:ascii="Times New Roman" w:cs="Times New Roman" w:eastAsia="Times New Roman" w:hAnsi="Times New Roman"/>
          <w:sz w:val="18"/>
          <w:szCs w:val="18"/>
          <w:b w:val="1"/>
          <w:bCs w:val="1"/>
          <w:color w:val="auto"/>
        </w:rPr>
        <w:t>CII Regulations</w:t>
      </w:r>
      <w:r>
        <w:rPr>
          <w:rFonts w:ascii="Times New Roman" w:cs="Times New Roman" w:eastAsia="Times New Roman" w:hAnsi="Times New Roman"/>
          <w:sz w:val="18"/>
          <w:szCs w:val="18"/>
          <w:color w:val="auto"/>
        </w:rPr>
        <w:t>”), effective on September 1, 2021. Pursuant to the CII Regulations, a “critical information infrastructure” has the meaning of an important network facility and information system in important industries such as, among others, public communications and information services, energy, transport, water conservation, finance, public services, e-government affairs and national defense science, as well as other important network facilities and information systems that may seriously endanger national security, national economy, people’s livelihood, or public interests in the event of damage, loss of function, or data leakage. The competent regulatory authorities as well as the supervision and administrative authorities of the aforementioned important industries and sectors will be responsible for (i) organizing the identification of critical information infrastructures in their respective industries in accordance with certain identification rules, and (ii) promptly notifying the identified operators and the public security department of the State Council of the identification results.</w:t>
      </w:r>
    </w:p>
    <w:p>
      <w:pPr>
        <w:spacing w:after="0" w:line="19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On December 28, 2021, thirteen regulatory authorities, including the Cyberspace Administration of China (the “</w:t>
      </w:r>
      <w:r>
        <w:rPr>
          <w:rFonts w:ascii="Times New Roman" w:cs="Times New Roman" w:eastAsia="Times New Roman" w:hAnsi="Times New Roman"/>
          <w:sz w:val="18"/>
          <w:szCs w:val="18"/>
          <w:b w:val="1"/>
          <w:bCs w:val="1"/>
          <w:color w:val="auto"/>
        </w:rPr>
        <w:t>CAC</w:t>
      </w:r>
      <w:r>
        <w:rPr>
          <w:rFonts w:ascii="Times New Roman" w:cs="Times New Roman" w:eastAsia="Times New Roman" w:hAnsi="Times New Roman"/>
          <w:sz w:val="18"/>
          <w:szCs w:val="18"/>
          <w:color w:val="auto"/>
        </w:rPr>
        <w:t>”), the China Securities Regulatory Commission (the “</w:t>
      </w:r>
      <w:r>
        <w:rPr>
          <w:rFonts w:ascii="Times New Roman" w:cs="Times New Roman" w:eastAsia="Times New Roman" w:hAnsi="Times New Roman"/>
          <w:sz w:val="18"/>
          <w:szCs w:val="18"/>
          <w:b w:val="1"/>
          <w:bCs w:val="1"/>
          <w:color w:val="auto"/>
        </w:rPr>
        <w:t>CSRC</w:t>
      </w:r>
      <w:r>
        <w:rPr>
          <w:rFonts w:ascii="Times New Roman" w:cs="Times New Roman" w:eastAsia="Times New Roman" w:hAnsi="Times New Roman"/>
          <w:sz w:val="18"/>
          <w:szCs w:val="18"/>
          <w:color w:val="auto"/>
        </w:rPr>
        <w:t>”), jointly released the Cybersecurity Review Measures (the “</w:t>
      </w:r>
      <w:r>
        <w:rPr>
          <w:rFonts w:ascii="Times New Roman" w:cs="Times New Roman" w:eastAsia="Times New Roman" w:hAnsi="Times New Roman"/>
          <w:sz w:val="18"/>
          <w:szCs w:val="18"/>
          <w:b w:val="1"/>
          <w:bCs w:val="1"/>
          <w:color w:val="auto"/>
        </w:rPr>
        <w:t>Cybersecurity Review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Measures</w:t>
      </w:r>
      <w:r>
        <w:rPr>
          <w:rFonts w:ascii="Times New Roman" w:cs="Times New Roman" w:eastAsia="Times New Roman" w:hAnsi="Times New Roman"/>
          <w:sz w:val="18"/>
          <w:szCs w:val="18"/>
          <w:color w:val="auto"/>
        </w:rPr>
        <w:t>”) which became effective on February 15, 2022. Pursuant to the Cybersecurity Review Measures, network platform operators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holding personal information of over one million users shall apply for cybersecurity review before listing abroad. The cybersecurity review will evaluate, among others, the risk of critical information infrastructure, core data, important data, or the risk of a large amount of personal information being influenced, controlled or maliciously used by foreign governments after going public, and cyber information security risk.</w:t>
      </w:r>
    </w:p>
    <w:p>
      <w:pPr>
        <w:spacing w:after="0" w:line="18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July 22, 2020, the MPS issued the Guiding Opinions on Implementing the Multi-Level Protection Scheme for Cybersecurity and the Security Protection System for Critical Information Infrastructure (the “</w:t>
      </w:r>
      <w:r>
        <w:rPr>
          <w:rFonts w:ascii="Times New Roman" w:cs="Times New Roman" w:eastAsia="Times New Roman" w:hAnsi="Times New Roman"/>
          <w:sz w:val="18"/>
          <w:szCs w:val="18"/>
          <w:b w:val="1"/>
          <w:bCs w:val="1"/>
          <w:color w:val="auto"/>
        </w:rPr>
        <w:t>Guiding Opinions on MLPS and CII</w:t>
      </w:r>
      <w:r>
        <w:rPr>
          <w:rFonts w:ascii="Times New Roman" w:cs="Times New Roman" w:eastAsia="Times New Roman" w:hAnsi="Times New Roman"/>
          <w:sz w:val="18"/>
          <w:szCs w:val="18"/>
          <w:color w:val="auto"/>
        </w:rPr>
        <w:t>”). The Guiding Opinions on MLPS and CII restates the basic principles and work objectives of implementing the requirements on multi-level protection scheme and security protection of critical information infrastructure, and requires network operators to undertake the assessment and filing of their own network systems in time under the multi-level protection scheme. In addition, according to the Guiding Opinions on MLPS and CII, the industrial regulatory authorities shall develop the rules for the identification of critical information infrastructure in such industries, promptly notify the relevant operators of the identification results and report the same to the MPS for record.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Protection</w:t>
      </w:r>
    </w:p>
    <w:p>
      <w:pPr>
        <w:spacing w:after="0" w:line="22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June 10, 2021, the SCNPC promulgated the Data Security Law of the PRC (the “</w:t>
      </w:r>
      <w:r>
        <w:rPr>
          <w:rFonts w:ascii="Times New Roman" w:cs="Times New Roman" w:eastAsia="Times New Roman" w:hAnsi="Times New Roman"/>
          <w:sz w:val="18"/>
          <w:szCs w:val="18"/>
          <w:b w:val="1"/>
          <w:bCs w:val="1"/>
          <w:color w:val="auto"/>
        </w:rPr>
        <w:t>Data Security Law</w:t>
      </w:r>
      <w:r>
        <w:rPr>
          <w:rFonts w:ascii="Times New Roman" w:cs="Times New Roman" w:eastAsia="Times New Roman" w:hAnsi="Times New Roman"/>
          <w:sz w:val="18"/>
          <w:szCs w:val="18"/>
          <w:color w:val="auto"/>
        </w:rPr>
        <w:t>”), which became effective on September 1, 2021. The Data Security Law provides for data security obligations on entities and individuals carrying out data activities. The Data Security Law also introduces a data classification and hierarchical protection system based on the importance of data in economic and social development, as well as the degree of harm it will cause to national security, public interests, or legitimate rights and interests of individuals or organizations when such data is tampered with, destroyed, leaked, or illegally acquired or used. The appropriate level of protection measures is required to be taken for each respective category of data. For example, a processor of important data shall designate the personnel and the management body responsible for data security, carry out risk assessments for its data processing activities and file the risk assessment reports with the competent authorities. In addition, the Data Security Law provides a national security review procedure for those data activities which may affect national security and imposes export restrictions on certain data and information.</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August 16, 2021, five regulatory authorities, including the CAC, promulgated the Several Provisions on the Administration of Automotive Data Security Management (for Trial Implementation) (the “</w:t>
      </w:r>
      <w:r>
        <w:rPr>
          <w:rFonts w:ascii="Times New Roman" w:cs="Times New Roman" w:eastAsia="Times New Roman" w:hAnsi="Times New Roman"/>
          <w:sz w:val="18"/>
          <w:szCs w:val="18"/>
          <w:b w:val="1"/>
          <w:bCs w:val="1"/>
          <w:color w:val="auto"/>
        </w:rPr>
        <w:t>Provisions on Automotive Data Security</w:t>
      </w:r>
      <w:r>
        <w:rPr>
          <w:rFonts w:ascii="Times New Roman" w:cs="Times New Roman" w:eastAsia="Times New Roman" w:hAnsi="Times New Roman"/>
          <w:sz w:val="18"/>
          <w:szCs w:val="18"/>
          <w:color w:val="auto"/>
        </w:rPr>
        <w:t>”), which became effective on October 1, 2021. The Provisions on Automotive Data Security clearly defines the definition of “automotive data”, “processing of automotive data”, “automotive data processor”, “personal information”, “sensitive personal information” and “important data”, and further elaborate the principles of and requirements for the automotive data operating activities within the PRC. Furthermore, the Provisions on Automotive Data Security also prescribes the implementation of classified protection of cybersecurity, the obligations of automotive data operators to inform, anonymize and obtain individuals’ consents, and the specific requirements for processing sensitive personal information, as well as the risk assessment when operating important data and the security assessment when providing data abroad.</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On December 8, 2022, the MIIT issued the Measures for Data Security Administration in the Industry and Information Technology Field (for Trial Implementation) (the “</w:t>
      </w:r>
      <w:r>
        <w:rPr>
          <w:rFonts w:ascii="Times New Roman" w:cs="Times New Roman" w:eastAsia="Times New Roman" w:hAnsi="Times New Roman"/>
          <w:sz w:val="18"/>
          <w:szCs w:val="18"/>
          <w:b w:val="1"/>
          <w:bCs w:val="1"/>
          <w:color w:val="auto"/>
        </w:rPr>
        <w:t>MIIT Measures for Data Security</w:t>
      </w:r>
      <w:r>
        <w:rPr>
          <w:rFonts w:ascii="Times New Roman" w:cs="Times New Roman" w:eastAsia="Times New Roman" w:hAnsi="Times New Roman"/>
          <w:sz w:val="18"/>
          <w:szCs w:val="18"/>
          <w:color w:val="auto"/>
        </w:rPr>
        <w:t>”), which became effective on January 1, 2023. In accordance with the MIIT Measures for Data Security, data processors in the field of industry and information technology shall classify data firstly based on the data’s category and then match the corresponding organizational and technical measures. It also imposes certain obligations on them in relation to, among others, implementation of data full-life security protection system which includes data collection, data storage, data usage, data transmission, data disclosure, safety audit and emergency plans.</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July 7, 2022, the CAC promulgated the Measures for the Security Assessment of Data Cross-border Transfer (the “</w:t>
      </w:r>
      <w:r>
        <w:rPr>
          <w:rFonts w:ascii="Times New Roman" w:cs="Times New Roman" w:eastAsia="Times New Roman" w:hAnsi="Times New Roman"/>
          <w:sz w:val="18"/>
          <w:szCs w:val="18"/>
          <w:b w:val="1"/>
          <w:bCs w:val="1"/>
          <w:color w:val="auto"/>
        </w:rPr>
        <w:t>Measures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Data Cross-border Transfer</w:t>
      </w:r>
      <w:r>
        <w:rPr>
          <w:rFonts w:ascii="Times New Roman" w:cs="Times New Roman" w:eastAsia="Times New Roman" w:hAnsi="Times New Roman"/>
          <w:sz w:val="18"/>
          <w:szCs w:val="18"/>
          <w:color w:val="auto"/>
        </w:rPr>
        <w:t>”), which became effective on September 1, 2022. The Measures for Data Cross-border Transfer provides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four circumstances, under any of which data processors shall, through the local cyberspace administration at the provincial level, apply to the national cyberspace administration for security assessment of data cross-border transfer. These circumstances include: (i) where the data to be transferred to an overseas recipient contains important data; (ii) where a personal information processor that has processed personal information of more than one million individuals or a critical information infrastructure operator provides personal information overseas; (iii) where a data processor has provided personal information of 100,000 people or sensitive personal information of 10,000 people in total abroad since January 1 of the previous year; or (iv) other circumstances prescribed by the CAC for which declaration for security assessment for cross-border data transfers is required.</w:t>
      </w:r>
    </w:p>
    <w:p>
      <w:pPr>
        <w:spacing w:after="0" w:line="192"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On February 22, 2023, the CAC promulgated the Measures for the Standard Contract for Cross-border Transfer of Personal Information (the “</w:t>
      </w:r>
      <w:r>
        <w:rPr>
          <w:rFonts w:ascii="Times New Roman" w:cs="Times New Roman" w:eastAsia="Times New Roman" w:hAnsi="Times New Roman"/>
          <w:sz w:val="18"/>
          <w:szCs w:val="18"/>
          <w:b w:val="1"/>
          <w:bCs w:val="1"/>
          <w:color w:val="auto"/>
        </w:rPr>
        <w:t>Measures for Standard Contract</w:t>
      </w:r>
      <w:r>
        <w:rPr>
          <w:rFonts w:ascii="Times New Roman" w:cs="Times New Roman" w:eastAsia="Times New Roman" w:hAnsi="Times New Roman"/>
          <w:sz w:val="18"/>
          <w:szCs w:val="18"/>
          <w:color w:val="auto"/>
        </w:rPr>
        <w:t>”), which became effective on June 1, 2023. The Measures for Standard Contract requires that any personal information processor transferring personal information abroad by entering into the standard contract shall meet all of the following conditions: (i) it is not a critical information infrastructure operator; (ii) it processes the personal information of less than 1 million individuals; (iii) it has cumulatively transferred abroad the personal information of less than 100,000 individuals since January 1 of the previous year; and (iv) it has cumulatively transferred abroad the sensitive personal information of less than 10,000 individuals since January 1 of the previous year. Where there are other relevant provisions in any laws, administrative regulations or rules of the CAC, such provisions shall apply. It also emphasizes that any personal information processor shall not use methods such as quantity splitting of the personal information that is required by law to undergo the security assessment for data cross-border transfer under the Measures for Data Cross-border Transfer. The standard contract shall be concluded in strict accordance with the annex of the Measures for Standard Contract, and the personal information processors shall, within 10 working days after the standard contract enters into effect, apply for filing with the local cyberspace administration at the provincial level.</w:t>
      </w:r>
    </w:p>
    <w:p>
      <w:pPr>
        <w:spacing w:after="0" w:line="19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March 22, 2024, the Provisions on Promoting and Regulating Cross-border Data Flows (the “New Provisions on Cross-border Data Flows”), which’s promulgated by the CAC, became effective. Under the New Provisions on Cross-border Data Flows, to provide the data collected and generated in such activities as international trade, cross-border transport, academic cooperation, transnational manufacturing and marketing, which do not contain personal information or important data, to overseas parties, it is exempted from declaring security assessment for data to be provided abroad, concluding a standard contract for personal information to be provided abroad or passing authentication for protection of personal information. It also emphasizes that, where a data processor other than a critical information infrastructure operator provides abroad the personal information (excluding sensitive personal information) of not more than 100,000 persons accumulatively as of January 1 of the current year, it may be exempted from declaring security assessment for data to be provided abroad, concluding a standard contract for personal information to be provided abroad or passing authentication for protection of personal information.</w:t>
      </w:r>
    </w:p>
    <w:p>
      <w:pPr>
        <w:spacing w:after="0" w:line="19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September 24, 2024, the Regulation on Network Data Security Management (the “Network Data Regulation”) was promulgated by the State Council, and became effective on January 1, 2025. The Network Data Regulation restates and further specifies the legal requirements for personal information, important data, cross-border data transfer, network platform services, and data security. Among others, if the network data processing activities have or may have impacts on national security, such activities shall be subject to national security review in accordance with relevant laws and regulations.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Personal Information Protection</w:t>
      </w:r>
    </w:p>
    <w:p>
      <w:pPr>
        <w:spacing w:after="0" w:line="225"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On May 28, 2020, the SCNPC adopted the Civil Code of the PRC (the “</w:t>
      </w:r>
      <w:r>
        <w:rPr>
          <w:rFonts w:ascii="Times New Roman" w:cs="Times New Roman" w:eastAsia="Times New Roman" w:hAnsi="Times New Roman"/>
          <w:sz w:val="18"/>
          <w:szCs w:val="18"/>
          <w:b w:val="1"/>
          <w:bCs w:val="1"/>
          <w:color w:val="auto"/>
        </w:rPr>
        <w:t>Civil Code</w:t>
      </w:r>
      <w:r>
        <w:rPr>
          <w:rFonts w:ascii="Times New Roman" w:cs="Times New Roman" w:eastAsia="Times New Roman" w:hAnsi="Times New Roman"/>
          <w:sz w:val="18"/>
          <w:szCs w:val="18"/>
          <w:color w:val="auto"/>
        </w:rPr>
        <w:t>”), effective on January 1, 2021. Pursuant to the Civil Code, individuals have the right of privacy. No organization or individual shall process any individual’s private information or infringe an individual’s right of privacy, unless otherwise prescribed by law or with the consent of such individual or such individual’s guardian. In addition, any processing of personal information shall be subject to the principles of legitimacy, legality and necessity. An information processor shall not divulge or falsify the personal information collected and stored by it, or illegally provide the personal information of an individual to others without the consent of such individual, except for information that has been processed so that specific person cannot be identified and that cannot be restored.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On August 20, 2021, the SCNPC promulgated the Personal Information Protection Law (the “</w:t>
      </w:r>
      <w:r>
        <w:rPr>
          <w:rFonts w:ascii="Times New Roman" w:cs="Times New Roman" w:eastAsia="Times New Roman" w:hAnsi="Times New Roman"/>
          <w:sz w:val="18"/>
          <w:szCs w:val="18"/>
          <w:b w:val="1"/>
          <w:bCs w:val="1"/>
          <w:color w:val="auto"/>
        </w:rPr>
        <w:t>Personal Information Protection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which integrates the scattered rules with respect to personal information rights and privacy protection and became effective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November 1, 2021. The Personal Information Protection Law applies to personal information processing activities within China, as well as certain personal information processing activities outside China, including those for provision of products and services to natural persons within China or for analyzing and assessing acts of natural persons within China. The Personal Information Protection Law provides the circumstances under which a personal information processor could process personal information, which include but not limited to, where the consent of the individual concerned is obtained and where it is necessary for the conclusion or performance of a contract to which the individual is a contractual party. It also stipulates certain specific rules with respect to the obligations of a personal information processor, such as to inform the purpose, the method of processing, the type of personal information processed and retention period to the individuals, and the obligation of the third party who has access to the personal information by way of co-processing or delegation etc. Processors processing personal information exceeding the threshold to be set by the CAC and operators of critical information infrastructure are required to store, within the territory of the PRC, the personal information collected and produced within the territory of the PRC. Furthermore, the Personal Information Protection Law also provides for the rights of natural persons whose personal information is processed, and takes special care of the personal information of children under 14 and other sensitive personal information.</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July 16, 2013, the MIIT promulgated the Regulations on Protection of Personal Information of Telecommunication and Internet Users, which took effect on September 1, 2013, to regulate the collection and use of users’ personal information in the provision of telecommunication services and Internet information services in China. Telecommunication business operators and Internet service providers are required to constitute their own rules for the collection and use of users’ personal information and they cannot collect or use their information without users’ consent. Telecommunication business operators and Internet service providers must specify the purposes, manners and scopes of personal information collection and usage, and keep the collected personal information confidential. Telecommunication business operators and Internet service providers are prohibited from disclosing, tampering with, damaging, selling or illegally providing others with, collected personal information. Telecommunication business operators and Internet service providers are required to take technical and other measures to prevent the collected personal information from any unauthorized disclosure, damage or loss.</w:t>
      </w:r>
    </w:p>
    <w:p>
      <w:pPr>
        <w:spacing w:after="0" w:line="194"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On January 23, 2019, the CAC, the MIIT, the MPS and the SAMR jointly issued the Notice on Special Governance of Illegal Collection and Use of Personal Information via Apps, which restate the requirement of legal collection and use of personal information, and announces that the above departments jointly organize the special governance against the illegal collection and use of personal information in China from January to December 2019.</w:t>
      </w:r>
    </w:p>
    <w:p>
      <w:pPr>
        <w:spacing w:after="0" w:line="180"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March 2019, the Personal Information Protection Tasks Force on Apps issued the Guide to the Self-Assessment of Illegal Collection and Use of Personal Information by Apps, which’s recommended to be used by App operators to carry out self-check concerning their collection and use of personal information, in the aspects of texts of privacy policies, activities of collection and use of personal information by Apps, and protection of users’ rights by App operators.</w:t>
      </w:r>
    </w:p>
    <w:p>
      <w:pPr>
        <w:spacing w:after="0" w:line="18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On November 28, 2019, the CAC, the MIIT, the MPS and the SAMR jointly promulgated the Notice on the Measures for Determining the Illegal Collection and Use of Personal Information through Mobile Applications, which aims to provide reference for supervision and administration departments and provide guidance for mobile applications operators’ self-examination and self-correction and social supervision by netizens, and further elaborates the forms of behavior constituting illegal collection and use of the personal information through mobile applications including: (i) failing to publish the rules on the collection and use of personal information; (ii) failing to explicitly explain the purposes, methods and scope of the collection and use of personal information; (iii) collecting and using personal information without the users’ consent; (iv) collecting personal information unrelated to the services they provide and beyond the necessary principle; (v) providing personal information to others without the users’ consent; (vi) failing to provide the function of deleting or correcting the personal information according to the laws or failing to publish information such as ways of filing complaints and reports.</w:t>
      </w:r>
    </w:p>
    <w:p>
      <w:pPr>
        <w:spacing w:after="0" w:line="194" w:lineRule="exact"/>
        <w:rPr>
          <w:sz w:val="20"/>
          <w:szCs w:val="20"/>
          <w:color w:val="auto"/>
        </w:rPr>
      </w:pPr>
    </w:p>
    <w:p>
      <w:pPr>
        <w:ind w:right="320" w:firstLine="324"/>
        <w:spacing w:after="0" w:line="274" w:lineRule="auto"/>
        <w:rPr>
          <w:sz w:val="20"/>
          <w:szCs w:val="20"/>
          <w:color w:val="auto"/>
        </w:rPr>
      </w:pPr>
      <w:r>
        <w:rPr>
          <w:rFonts w:ascii="Times New Roman" w:cs="Times New Roman" w:eastAsia="Times New Roman" w:hAnsi="Times New Roman"/>
          <w:sz w:val="17"/>
          <w:szCs w:val="17"/>
          <w:color w:val="auto"/>
        </w:rPr>
        <w:t>On March 12, 2021, the CAC, the MIIT, the MPS and the SAMR jointly promulgated the Provisions on the Scope of Essential Personal Information for Common Types of Mobile Internet Applications with effective date from May 1, 2021. In relation to ride hailing applications, the basic functional services are “online taxi booking service, cruise taxi call service”, for which the necessary personal information includes mobile phone numbers, place of departure, place of destination, location information, whereabouts and tracks of passengers and payment information. In addition, Internet application operators shall not refuse users from using the basic functions of the Internet application on the ground that users do not agree to the collection of unnecessary personal information.</w:t>
      </w:r>
    </w:p>
    <w:p>
      <w:pPr>
        <w:sectPr>
          <w:pgSz w:w="11900" w:h="16838" w:orient="portrait"/>
          <w:cols w:equalWidth="0" w:num="1">
            <w:col w:w="9920"/>
          </w:cols>
          <w:pgMar w:left="980" w:top="513" w:right="999"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On February 12, 2025, the CAC promulgated the Administrative Measures for the Compliance Audit of Personal Information Protection (the “</w:t>
      </w:r>
      <w:r>
        <w:rPr>
          <w:rFonts w:ascii="Times New Roman" w:cs="Times New Roman" w:eastAsia="Times New Roman" w:hAnsi="Times New Roman"/>
          <w:sz w:val="18"/>
          <w:szCs w:val="18"/>
          <w:b w:val="1"/>
          <w:bCs w:val="1"/>
          <w:color w:val="auto"/>
        </w:rPr>
        <w:t>Measures for Compliance Audit</w:t>
      </w:r>
      <w:r>
        <w:rPr>
          <w:rFonts w:ascii="Times New Roman" w:cs="Times New Roman" w:eastAsia="Times New Roman" w:hAnsi="Times New Roman"/>
          <w:sz w:val="18"/>
          <w:szCs w:val="18"/>
          <w:color w:val="auto"/>
        </w:rPr>
        <w:t>”), which became effective on May 1, 2025. The Measures for Compliance Audit provide detailed provisions on the scope of compliance audit activities, implementation procedures, selection of audit institutions, audit frequency, and obligations of personal information processors and professional institutions during compliance audits. Among others, personal information processors handling the personal information of more than 1 million individuals are required to designate a person in charge of personal information protection to oversee the compliance audit activities.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Foreign Exchange Control and Dividend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Currency Exchange</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Pursuant to the Foreign Exchange Administrative Regulations of the PRC promulgated by the State Council on January 29, 1996, and last amended and became effective on August 5, 2008, Renminbi is freely convertible for payments of current account items such as trade and service-related foreign exchange transactions and dividend payments after the relevant financial institutions have reasonably examined the authenticity of the transactions and their consistency with foreign exchange receipts and payments, but are not freely convertible for capital expenditure items such as direct investment, loans or investments in securities outside the PRC unless the approval of the State Administration of Foreign Exchange of the PRC (the “</w:t>
      </w:r>
      <w:r>
        <w:rPr>
          <w:rFonts w:ascii="Times New Roman" w:cs="Times New Roman" w:eastAsia="Times New Roman" w:hAnsi="Times New Roman"/>
          <w:sz w:val="18"/>
          <w:szCs w:val="18"/>
          <w:b w:val="1"/>
          <w:bCs w:val="1"/>
          <w:color w:val="auto"/>
        </w:rPr>
        <w:t>SAFE</w:t>
      </w:r>
      <w:r>
        <w:rPr>
          <w:rFonts w:ascii="Times New Roman" w:cs="Times New Roman" w:eastAsia="Times New Roman" w:hAnsi="Times New Roman"/>
          <w:sz w:val="18"/>
          <w:szCs w:val="18"/>
          <w:color w:val="auto"/>
        </w:rPr>
        <w:t>”) or its local counterparts is obtained in advance.</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March 30, 2015, the SAFE promulgated the Circular on Reforming the Administration of Foreign Exchange Settlement of Capital of Foreign-Invested Enterprises (the “</w:t>
      </w:r>
      <w:r>
        <w:rPr>
          <w:rFonts w:ascii="Times New Roman" w:cs="Times New Roman" w:eastAsia="Times New Roman" w:hAnsi="Times New Roman"/>
          <w:sz w:val="18"/>
          <w:szCs w:val="18"/>
          <w:b w:val="1"/>
          <w:bCs w:val="1"/>
          <w:color w:val="auto"/>
        </w:rPr>
        <w:t>Circular 19</w:t>
      </w:r>
      <w:r>
        <w:rPr>
          <w:rFonts w:ascii="Times New Roman" w:cs="Times New Roman" w:eastAsia="Times New Roman" w:hAnsi="Times New Roman"/>
          <w:sz w:val="18"/>
          <w:szCs w:val="18"/>
          <w:color w:val="auto"/>
        </w:rPr>
        <w:t>”), which became effective on June 1, 2015 and amended in 2019 and 2023. The SAFE further promulgated the Circular of the State Administration of Foreign Exchange on Reforming and Regulating Policies on the Control over Foreign Exchange Settlement under the Capital Account (the “</w:t>
      </w:r>
      <w:r>
        <w:rPr>
          <w:rFonts w:ascii="Times New Roman" w:cs="Times New Roman" w:eastAsia="Times New Roman" w:hAnsi="Times New Roman"/>
          <w:sz w:val="18"/>
          <w:szCs w:val="18"/>
          <w:b w:val="1"/>
          <w:bCs w:val="1"/>
          <w:color w:val="auto"/>
        </w:rPr>
        <w:t>Circular 16</w:t>
      </w:r>
      <w:r>
        <w:rPr>
          <w:rFonts w:ascii="Times New Roman" w:cs="Times New Roman" w:eastAsia="Times New Roman" w:hAnsi="Times New Roman"/>
          <w:sz w:val="18"/>
          <w:szCs w:val="18"/>
          <w:color w:val="auto"/>
        </w:rPr>
        <w:t>”) on June 9, 2016, which, among other things, amended certain provisions of the Circular 19. According to the Circular 19 and the Circular 16, the flow and use of the Renminbi capital converted from foreign currency denominated registered capital of a foreign-invested company is regulated such that Renminbi capital may not be used for business beyond its business scope or to provide loans to persons other than affiliates unless otherwise permitted under its business scope. Violations of the Circular 19 or the Circular 16 could result in administrative penalties.</w:t>
      </w:r>
    </w:p>
    <w:p>
      <w:pPr>
        <w:spacing w:after="0" w:line="192"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On January 26, 2017, the SAFE promulgated the Notice on Improving the Check of Authenticity and Compliance to Further Promote Foreign Exchange Control, which stipulates several capital control measures with respect to the outbound remittance of profit from domestic entities to offshore entities, including (i) under the principle of genuine transaction, banks shall check board resolutions regarding profit distribution, the original version of tax filing records and audited financial statements; and (ii) domestic entities shall hold income to account for previous years’ losses before remitting the profits.</w:t>
      </w:r>
    </w:p>
    <w:p>
      <w:pPr>
        <w:spacing w:after="0" w:line="18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On October 23, 2019, the SAFE issued the Notice on Further Promoting Cross-border Trade and Investment Facilitation and last amended on December 4, 2023 by the Notice on Further Deepening the Reform to Facilitate Cross-border Trade and Investment (the “</w:t>
      </w:r>
      <w:r>
        <w:rPr>
          <w:rFonts w:ascii="Times New Roman" w:cs="Times New Roman" w:eastAsia="Times New Roman" w:hAnsi="Times New Roman"/>
          <w:sz w:val="18"/>
          <w:szCs w:val="18"/>
          <w:b w:val="1"/>
          <w:bCs w:val="1"/>
          <w:color w:val="auto"/>
        </w:rPr>
        <w:t>Circular 28</w:t>
      </w:r>
      <w:r>
        <w:rPr>
          <w:rFonts w:ascii="Times New Roman" w:cs="Times New Roman" w:eastAsia="Times New Roman" w:hAnsi="Times New Roman"/>
          <w:sz w:val="18"/>
          <w:szCs w:val="18"/>
          <w:color w:val="auto"/>
        </w:rPr>
        <w:t>”), which expressly allows foreign- invested enterprises that do not have equity investments in their approved business scope to use their capital obtained from foreign exchange settlement to make domestic equity investments as long as the investments are real and in compliance with the foreign investment-related laws and regulations. In addition, Circular 28 stipulates that qualified enterprises in certain pilot areas may use their capital income from registered capital, foreign debt and overseas listing, for the purpose of domestic payments without providing authenticity certifications to the relevant banks in advance for those domestic payments.</w:t>
      </w:r>
    </w:p>
    <w:p>
      <w:pPr>
        <w:spacing w:after="0" w:line="18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April 10, 2020, SAFE issued the Notice of the SAFE on Optimizing Foreign Exchange Administration to Support the Development of Foreign-related Business (the “</w:t>
      </w:r>
      <w:r>
        <w:rPr>
          <w:rFonts w:ascii="Times New Roman" w:cs="Times New Roman" w:eastAsia="Times New Roman" w:hAnsi="Times New Roman"/>
          <w:sz w:val="18"/>
          <w:szCs w:val="18"/>
          <w:b w:val="1"/>
          <w:bCs w:val="1"/>
          <w:color w:val="auto"/>
        </w:rPr>
        <w:t>Circular 8</w:t>
      </w:r>
      <w:r>
        <w:rPr>
          <w:rFonts w:ascii="Times New Roman" w:cs="Times New Roman" w:eastAsia="Times New Roman" w:hAnsi="Times New Roman"/>
          <w:sz w:val="18"/>
          <w:szCs w:val="18"/>
          <w:color w:val="auto"/>
        </w:rPr>
        <w:t>”). The Circular 8 provides that under the condition that the use of funds is genuine and compliant with current administrative provisions on use of income relating to capital account, enterprises are allowed to use income under capital account such as capital funds, foreign debts and overseas listings for domestic payment, without submission to the bank prior to each transaction of materials evidencing the veracity of such payment.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Exchange Registration of Overseas Investment by PRC Residents</w:t>
      </w:r>
    </w:p>
    <w:p>
      <w:pPr>
        <w:spacing w:after="0" w:line="22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On July 4, 2014, the SAFE promulgated the Circular on Relevant Issues Relating to Domestic Resident’s Investment and Financing and Roundtrip Investment through Special Purpose Vehicles (the “</w:t>
      </w:r>
      <w:r>
        <w:rPr>
          <w:rFonts w:ascii="Times New Roman" w:cs="Times New Roman" w:eastAsia="Times New Roman" w:hAnsi="Times New Roman"/>
          <w:sz w:val="18"/>
          <w:szCs w:val="18"/>
          <w:b w:val="1"/>
          <w:bCs w:val="1"/>
          <w:color w:val="auto"/>
        </w:rPr>
        <w:t>SAFE Circular 37</w:t>
      </w:r>
      <w:r>
        <w:rPr>
          <w:rFonts w:ascii="Times New Roman" w:cs="Times New Roman" w:eastAsia="Times New Roman" w:hAnsi="Times New Roman"/>
          <w:sz w:val="18"/>
          <w:szCs w:val="18"/>
          <w:color w:val="auto"/>
        </w:rPr>
        <w:t>”) for the purpose of simplifying the approval process, and for the promotion of the cross-border investment. Under the SAFE Circular 37, (i) before the PRC residents or entities conducting investment in offshore special purpose vehicles with their legitimate onshore and offshore assets or equities, they must register with local SAFE branches with respect to their investments; and (ii) following the initial registration, they must update their SAFE registrations when the offshore special purpose vehicle undergoes material events relating to any change of basic information (including change of such PRC citizens or residents, name and operation term, increases or decreases in investment amount, transfers or exchanges of shares, or mergers or divisions).</w:t>
      </w:r>
    </w:p>
    <w:p>
      <w:pPr>
        <w:spacing w:after="0" w:line="19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SAFE further promulgated the Notice on Further Simplifying and Improving Foreign Exchange Administration Policy on Direct Investment on February 13, 2015, which came into effect on June 1, 2015 and allows PRC residents or entities to register with qualified banks in connection with their establishment or control of an offshore entity established for the purpose of overseas investment or financing. The qualified banks, under the supervision of SAFE, directly examine the applications and conduct the registration.</w:t>
      </w:r>
    </w:p>
    <w:p>
      <w:pPr>
        <w:spacing w:after="0" w:line="180"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Failure to comply with the registration procedures set forth in the SAFE Circular 37 may result in restrictions being imposed on the foreign exchange activities of the relevant onshore company, including the payment of dividends and other distributions to its offshore parent or affiliate, and may also subject relevant PRC residents to penalties under PRC foreign exchange administration regulations. PRC residents who control the company from time to time are required to register with the SAFE in connection with their investments in the company. Moreover, failure to comply with the various SAFE registration requirements described above could result in liability under PRC laws for evasion of foreign exchange controls.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Dividend Distribution</w:t>
      </w:r>
    </w:p>
    <w:p>
      <w:pPr>
        <w:spacing w:after="0" w:line="229" w:lineRule="exact"/>
        <w:rPr>
          <w:sz w:val="20"/>
          <w:szCs w:val="20"/>
          <w:color w:val="auto"/>
        </w:rPr>
      </w:pPr>
    </w:p>
    <w:p>
      <w:pPr>
        <w:ind w:right="200" w:firstLine="441"/>
        <w:spacing w:after="0" w:line="254" w:lineRule="auto"/>
        <w:rPr>
          <w:sz w:val="20"/>
          <w:szCs w:val="20"/>
          <w:color w:val="auto"/>
        </w:rPr>
      </w:pPr>
      <w:r>
        <w:rPr>
          <w:rFonts w:ascii="Times New Roman" w:cs="Times New Roman" w:eastAsia="Times New Roman" w:hAnsi="Times New Roman"/>
          <w:sz w:val="18"/>
          <w:szCs w:val="18"/>
          <w:color w:val="auto"/>
        </w:rPr>
        <w:t>Under applicable PRC laws and regulations, foreign investment enterprises in China may pay dividends only out of their accumulated profits, if any, determined in accordance with PRC accounting standards and regulations. In addition, foreign investment enterprises in China are required to allocate at least 10% of their respective accumulated after-tax profits each year, if any, to fund statutory reserve funds unless these reserves have reached 50% of the registered capital of the respective enterprises. A PRC company may, at its discretion, allocate a portion of its after-tax profits based on the PRC accounting standards to other reserve funds. These reserves are not distributable as cash dividends. A PRC company shall not distribute any profits until any losses from prior fiscal years have been offset and the reserve funds have been funded. Profits retained from prior fiscal years may be distributed together with distributable profits from the current fiscal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w:t>
      </w:r>
    </w:p>
    <w:p>
      <w:pPr>
        <w:spacing w:after="0" w:line="22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The Patent Law of the PRC, which was promulgated by the SCNPC on March 12, 1984 and last amended on October 17, 2020 and became effective on June 1, 2021, provides for three types of patents, namely, “invention”, “utility model” and “design”. Invention patents are valid for twenty years, design patents filed no later than May 31, 2021 are valid for 10 years while design patents filed on or after June 1, 2021 are valid for 15 years and utility model patents are valid for ten years, from the date of application. The Chinese patent system adopts a “first-to-file” principle, which means that where more than one person files a patent application for the same invention, a patent will be granted to the person who files the application first. To be patentable, invention or utility models must meet three criteria: novelty, inventiveness and practicability. A third party must obtain consent or a proper license from the patent owner to use the patent. Otherwise, the use constitutes an infringement of the patent rights.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Copyright</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Copyright Law of the PRC (the “Copyright Law”), which first became effective on June 1, 1991, and was latest amended in 2020 and became effective on June 1, 2021, provides that PRC citizens, legal persons, or other organizations shall, whether published or not, own copyright in their copyrightable works, which include, among others, works of literature, art, natural science, social science, engineering technology and computer software. Copyright owners enjoy certain legal rights, including right of publication, right of authorship and right of reproduction. The Copyright Law extends copyright protection to Internet activities, products disseminated over the internet and software products. In addition, the Copyright Law provides for a voluntary registration system administered by the China Copyright Protection Center.</w:t>
      </w:r>
    </w:p>
    <w:p>
      <w:pPr>
        <w:spacing w:after="0" w:line="189" w:lineRule="exact"/>
        <w:rPr>
          <w:sz w:val="20"/>
          <w:szCs w:val="20"/>
          <w:color w:val="auto"/>
        </w:rPr>
      </w:pPr>
    </w:p>
    <w:p>
      <w:pPr>
        <w:jc w:val="both"/>
        <w:ind w:right="460" w:firstLine="441"/>
        <w:spacing w:after="0" w:line="261" w:lineRule="auto"/>
        <w:rPr>
          <w:sz w:val="20"/>
          <w:szCs w:val="20"/>
          <w:color w:val="auto"/>
        </w:rPr>
      </w:pPr>
      <w:r>
        <w:rPr>
          <w:rFonts w:ascii="Times New Roman" w:cs="Times New Roman" w:eastAsia="Times New Roman" w:hAnsi="Times New Roman"/>
          <w:sz w:val="18"/>
          <w:szCs w:val="18"/>
          <w:color w:val="auto"/>
        </w:rPr>
        <w:t>Pursuant to the Computer Software Copyright Protection Regulations promulgated by the State Council on June 4, 1991, and amended on January 30, 2013 and became effective on March 1, 2013, software copyright owners may go through the registration formalities with a software registration authority recognized by the State Council’s copyright administrative department. Software copyright owners may authorize others to exercise that copyright, and is entitled to receive remuneration.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w:t>
      </w:r>
    </w:p>
    <w:p>
      <w:pPr>
        <w:spacing w:after="0" w:line="229"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Pursuant to the Trademark Law of the PRC, promulgated by the SCNPC on August 23, 1982, and last amended on April 23, 2019 and became effective on November 11, 2019, the Trademark Office of China National Intellectual Property Administration is responsible for the registration and administration of trademarks and is also responsible for resolving trademark disputes in China. A registered trademark is valid for ten years from the date the registration is approved. A registrant may apply to renew a registration within twelve months before the expiration date of the registration. If the registrant fails to apply in a timely manner, a grace period of six additional months may be granted. If the registrant fails to apply before the grace period expires, the registered trademark shall be deregistered. Renewed registrations are valid for ten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Domain Names</w:t>
      </w:r>
    </w:p>
    <w:p>
      <w:pPr>
        <w:spacing w:after="0" w:line="229"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Internet domain name registration and related matters are primarily regulated by the Measures on Administration of Internet Domain Names promulgated by the MIIT on August 24, 2017 and became effective on November 1, 2017, and the Implementing Rules on Registration of National Top-level Domain Names promulgated by China Internet Network Information Centre and took into effect on June 18, 2019. The domain name services follow a “first come, first file” principle. Applicants for registration of domain names shall provide their true, accurate and complete information of such domain names to and enter into registration agreements with domain name registration service institutions. The applicants will become the holders of such domain names upon the completion of the registration procedure.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Income Tax</w:t>
      </w:r>
    </w:p>
    <w:p>
      <w:pPr>
        <w:spacing w:after="0" w:line="22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According to the Enterprise Income Tax Law of the PRC (the “</w:t>
      </w:r>
      <w:r>
        <w:rPr>
          <w:rFonts w:ascii="Times New Roman" w:cs="Times New Roman" w:eastAsia="Times New Roman" w:hAnsi="Times New Roman"/>
          <w:sz w:val="18"/>
          <w:szCs w:val="18"/>
          <w:b w:val="1"/>
          <w:bCs w:val="1"/>
          <w:color w:val="auto"/>
        </w:rPr>
        <w:t>EIT Law</w:t>
      </w:r>
      <w:r>
        <w:rPr>
          <w:rFonts w:ascii="Times New Roman" w:cs="Times New Roman" w:eastAsia="Times New Roman" w:hAnsi="Times New Roman"/>
          <w:sz w:val="18"/>
          <w:szCs w:val="18"/>
          <w:color w:val="auto"/>
        </w:rPr>
        <w:t>”), which was promulgated by the SCNPC on March 16, 2007, and was last amended and became effective on December 29, 2018, and the Enterprise Income Tax Implementation Regulations of the PRC (the “</w:t>
      </w:r>
      <w:r>
        <w:rPr>
          <w:rFonts w:ascii="Times New Roman" w:cs="Times New Roman" w:eastAsia="Times New Roman" w:hAnsi="Times New Roman"/>
          <w:sz w:val="18"/>
          <w:szCs w:val="18"/>
          <w:b w:val="1"/>
          <w:bCs w:val="1"/>
          <w:color w:val="auto"/>
        </w:rPr>
        <w:t>EITIR</w:t>
      </w:r>
      <w:r>
        <w:rPr>
          <w:rFonts w:ascii="Times New Roman" w:cs="Times New Roman" w:eastAsia="Times New Roman" w:hAnsi="Times New Roman"/>
          <w:sz w:val="18"/>
          <w:szCs w:val="18"/>
          <w:color w:val="auto"/>
        </w:rPr>
        <w:t>”), which was promulgated by the State Council on December 6, 2007, and was last amended and became effective on January 20, 2025, enterprises are classified as “resident enterprises” and “non-resident enterprises”, and both resident enterprises and non-resident enterprises are subject to tax in the PRC. Pursuant to the EIT Law and the EITIR, PRC resident enterprises typically pay an enterprise income tax at the rate of 25% while non-PRC resident enterprises without any branches in the PRC should pay an enterprise income tax in connection with their income from the PRC at the tax rate of 10%. Enterprises established under the laws of foreign countries or regions whose “de facto management bodies” are located in the PRC are considered to be PRC resident enterprises, and will generally be subject to enterprise income tax at the rate of 25% of their global income. The EITIR defines “de facto management bodies” as “establishments that carry out substantial and overall management and control over production and operations, personnel, accounting, and properties” of the enterprise.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Pursuant to Notice of the State Taxation Administration on Issues about the Determination of Chinese- Controlled Enterprises Registered Abroad as Resident Enterprises on the Basis of Their Body of Actual Management (the “</w:t>
      </w:r>
      <w:r>
        <w:rPr>
          <w:rFonts w:ascii="Times New Roman" w:cs="Times New Roman" w:eastAsia="Times New Roman" w:hAnsi="Times New Roman"/>
          <w:sz w:val="18"/>
          <w:szCs w:val="18"/>
          <w:b w:val="1"/>
          <w:bCs w:val="1"/>
          <w:color w:val="auto"/>
        </w:rPr>
        <w:t>STA Circular 82</w:t>
      </w:r>
      <w:r>
        <w:rPr>
          <w:rFonts w:ascii="Times New Roman" w:cs="Times New Roman" w:eastAsia="Times New Roman" w:hAnsi="Times New Roman"/>
          <w:sz w:val="18"/>
          <w:szCs w:val="18"/>
          <w:color w:val="auto"/>
        </w:rPr>
        <w:t>”) issued by the State Taxation Administration of the PRC (the “</w:t>
      </w:r>
      <w:r>
        <w:rPr>
          <w:rFonts w:ascii="Times New Roman" w:cs="Times New Roman" w:eastAsia="Times New Roman" w:hAnsi="Times New Roman"/>
          <w:sz w:val="18"/>
          <w:szCs w:val="18"/>
          <w:b w:val="1"/>
          <w:bCs w:val="1"/>
          <w:color w:val="auto"/>
        </w:rPr>
        <w:t>STA</w:t>
      </w:r>
      <w:r>
        <w:rPr>
          <w:rFonts w:ascii="Times New Roman" w:cs="Times New Roman" w:eastAsia="Times New Roman" w:hAnsi="Times New Roman"/>
          <w:sz w:val="18"/>
          <w:szCs w:val="18"/>
          <w:color w:val="auto"/>
        </w:rPr>
        <w:t>”) in April 2009 and amended in December 2017, an overseas registered enterprise controlled by a PRC company or a PRC company group will be classified as a “resident enterprise” with its “de facto management body” located within China if the following requirements are satisfied: (i) the senior management and core management departments in charge of its daily operations are mainly located in the PRC; (ii) its financial and human resources decisions are subject to determination or approval by persons or bodies located in the PRC; (iii) its major assets, accounting books, company seals, and minutes and files of its board and shareholders’ meetings are located or kept in the PRC; and (iv) no less than half of the enterprise’s directors or senior management with voting rights reside in the PRC. The STA issued additional rules to provide more guidance on the implementation of STA Circular 82 in July 2011, and issued an amendment to STA Circular 82 in January 2014 delegating the authority to its provincial branches to determine whether a Chinese-controlled overseas-incorporated enterprise should be considered a PRC resident enterprise. Although the STA Circular 82, the additional guidance and its amendment only apply to overseas registered enterprises controlled by PRC enterprises and not those controlled by PRC individuals or foreigners, the determining criteria set forth in the circular may reflect STA’s general position on how the “de facto management body” test should be applied in determining the tax resident status of offshore enterprises, regardless of whether they are controlled by PRC enterprises, PRC individuals or foreigners. If our offshore entities are deemed PRC resident enterprises, these entities may be subject to the EIT at the rate of 25% on their global income, except that the dividends distributed by our PRC subsidiaries may be exempt from the EIT to the extent such dividends are deemed “dividends among qualified resident enterprises.”</w:t>
      </w:r>
    </w:p>
    <w:p>
      <w:pPr>
        <w:spacing w:after="0" w:line="19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addition, pursuant to the EIT Law, enterprises qualified as “High and New Technology Enterprises” are entitled to a 15% enterprise income tax rate rather than the 25% uniform statutory tax rate. The preferential tax treatment continues as long as an enterprise can retain its “High and New Technology Enterprise” status.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Withholding Tax</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According to the EIT Law and the EITIR, dividends paid by foreign-invested companies to their foreign investors that are non-resident enterprises as defined under the law are subject to withholding tax at a rate of 10%, unless otherwise provided in the relevant tax agreements entered into with the central government of the PRC. Pursuant to the Arrangement Between the Mainland of China and the Hong Kong Special Administrative Region for the Avoidance of Double Taxation and the Prevention of Fiscal Evasion with respect to Taxes on Income promulgated on August 21, 2006, if a Hong Kong resident enterprise is determined by the competent PRC tax authority to have satisfied the relevant conditions and requirements under such tax arrangement, the withholding tax rate on the dividends the Hong Kong resident enterprise receives from a PRC resident enterprise may be reduced to 5% from 10% applicable under the EIT Law and the EITIR.</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However, based on the Notice of the State Taxation Administration on Certain Issues with Respect to the Enforcement of Dividend Provisions in Tax Treaties promulgated by the STA and effective on February 20, 2009, if the relevant PRC tax authorities determine, in their discretion, that a company benefits from such reduced income tax rate due to a structure or arrangement that is primarily tax-driven, such PRC tax authorities may adjust the preferential tax treatment. Based on the Notice of the State Taxation Administration on the Recognition of Beneficial Owners in Tax Treaties, which was promulgated by the STA on February 3, 2018 and came into effect on April 1, 2018, a comprehensive analysis will be used to determine beneficial ownership based on the actual situation of a specific case combined with certain principles, and if an applicant was obliged to pay more than 50% of its income to a third country (region) resident within 12 months of the receipt of the income, or the business activities undertaken by an applicant did not constitute substantive business activities including substantive manufacturing, distribution, management and other activities, the applicant was unlikely to be recognized as a beneficial owner to enjoy tax treaty benefits.</w:t>
      </w:r>
    </w:p>
    <w:p>
      <w:pPr>
        <w:spacing w:after="0" w:line="194"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Furthermore, the Administrative Measures for Convention Treatment for Non-resident Taxpayers, which became effective on January 1, 2020, require that non-resident taxpayers claiming treaty benefits shall be handled in accordance with the principles of “self-assessment, claiming for the enjoyment of treaty benefits, and retention of the relevant materials for future inspection.” Where a non-PRC resident taxpayer self-assesses and concludes that it satisfies the criteria for claiming treaty benefits, it may enjoy treaty benefits at the time of tax declaration or at the time of withholding through a withholding agent, simultaneously gather and retain the relevant materials pursuant to the provisions of these Measures for future inspection, and subject to subsequent administration by relevant competent tax authorities.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Value-added Tax and Business Tax</w:t>
      </w:r>
    </w:p>
    <w:p>
      <w:pPr>
        <w:spacing w:after="0" w:line="18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Before August 2013 and pursuant to applicable PRC tax regulations, any entity or individual conducting business in the service industry is generally required to pay a business tax. In November 2011, the Ministry of Finance (the “</w:t>
      </w:r>
      <w:r>
        <w:rPr>
          <w:rFonts w:ascii="Times New Roman" w:cs="Times New Roman" w:eastAsia="Times New Roman" w:hAnsi="Times New Roman"/>
          <w:sz w:val="18"/>
          <w:szCs w:val="18"/>
          <w:b w:val="1"/>
          <w:bCs w:val="1"/>
          <w:color w:val="auto"/>
        </w:rPr>
        <w:t>MOF</w:t>
      </w:r>
      <w:r>
        <w:rPr>
          <w:rFonts w:ascii="Times New Roman" w:cs="Times New Roman" w:eastAsia="Times New Roman" w:hAnsi="Times New Roman"/>
          <w:sz w:val="18"/>
          <w:szCs w:val="18"/>
          <w:color w:val="auto"/>
        </w:rPr>
        <w:t>”) and the STA promulgated the Pilot Plan for Imposition of Value-Added Tax to Replace Business Tax. In May and December 2013, April 2014, March 2016 and July 2017, the MOF and the STA promulgated five circulars to further expand the scope of services that are to be subject to value-added tax (the “</w:t>
      </w:r>
      <w:r>
        <w:rPr>
          <w:rFonts w:ascii="Times New Roman" w:cs="Times New Roman" w:eastAsia="Times New Roman" w:hAnsi="Times New Roman"/>
          <w:sz w:val="18"/>
          <w:szCs w:val="18"/>
          <w:b w:val="1"/>
          <w:bCs w:val="1"/>
          <w:color w:val="auto"/>
        </w:rPr>
        <w:t>VAT</w:t>
      </w:r>
      <w:r>
        <w:rPr>
          <w:rFonts w:ascii="Times New Roman" w:cs="Times New Roman" w:eastAsia="Times New Roman" w:hAnsi="Times New Roman"/>
          <w:sz w:val="18"/>
          <w:szCs w:val="18"/>
          <w:color w:val="auto"/>
        </w:rPr>
        <w:t>”) instead of business tax. Pursuant to these tax rules, from August 1, 2013, a VAT was imposed to replace the business tax in certain service industries, including technology services, and from May 1, 2016, VAT replaced business tax in all industries on a nationwide basis. On November 19, 2017, the State Council further amended the Interim Regulation of the People’s Republic of China on Value Added Tax to reflect the normalization of the pilot program.</w:t>
      </w:r>
    </w:p>
    <w:p>
      <w:pPr>
        <w:spacing w:after="0" w:line="15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March 20, 2019, the MOF, the STA and the General Administration of Customs jointly issued the Announcement of Strengthening Reform of VAT Policies (the “</w:t>
      </w:r>
      <w:r>
        <w:rPr>
          <w:rFonts w:ascii="Times New Roman" w:cs="Times New Roman" w:eastAsia="Times New Roman" w:hAnsi="Times New Roman"/>
          <w:sz w:val="18"/>
          <w:szCs w:val="18"/>
          <w:b w:val="1"/>
          <w:bCs w:val="1"/>
          <w:color w:val="auto"/>
        </w:rPr>
        <w:t>Announcement No. 39</w:t>
      </w:r>
      <w:r>
        <w:rPr>
          <w:rFonts w:ascii="Times New Roman" w:cs="Times New Roman" w:eastAsia="Times New Roman" w:hAnsi="Times New Roman"/>
          <w:sz w:val="18"/>
          <w:szCs w:val="18"/>
          <w:color w:val="auto"/>
        </w:rPr>
        <w:t>”), which provides certain VAT reduction arrangements. According to the Announcement No. 39: (i) for general VAT payers’ sales activities or imports that are subject to VAT at an existing applicable rate of 16% or 10%, the applicable VAT rate is respectively adjusted to 13% or 9%; (ii) for the agricultural products purchased by taxpayers to which an existing 10% deduction rate is applicable, the deduction rate is adjusted to 9%; (iii) for the agricultural products purchased by taxpayers for production or commissioned processing, which are subject to VAT at 13%, the input VAT will be calculated at a 10% deduction rate; (iv) for the exportation of goods or labor services that are subject to VAT at 16%, with the applicable export refund at the same rate, the export refund rate is adjusted to 13%; and (v) for the exportation of goods or cross-border taxable activities that are subject to VAT at 10%, with the export refund at the same rate, the export refund rate is adjusted to 9%.</w:t>
      </w:r>
    </w:p>
    <w:p>
      <w:pPr>
        <w:spacing w:after="0" w:line="157"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On December 25, 2024, the SCNPC adopted the Value-added Tax Law of the PRC (the “</w:t>
      </w:r>
      <w:r>
        <w:rPr>
          <w:rFonts w:ascii="Times New Roman" w:cs="Times New Roman" w:eastAsia="Times New Roman" w:hAnsi="Times New Roman"/>
          <w:sz w:val="18"/>
          <w:szCs w:val="18"/>
          <w:b w:val="1"/>
          <w:bCs w:val="1"/>
          <w:color w:val="auto"/>
        </w:rPr>
        <w:t>VAT Law</w:t>
      </w:r>
      <w:r>
        <w:rPr>
          <w:rFonts w:ascii="Times New Roman" w:cs="Times New Roman" w:eastAsia="Times New Roman" w:hAnsi="Times New Roman"/>
          <w:sz w:val="18"/>
          <w:szCs w:val="18"/>
          <w:color w:val="auto"/>
        </w:rPr>
        <w:t>”). On December 25, 2025, the State Council promulgated the Regulations for the Implementation of the Value-added Tax Law of the PRC (the “</w:t>
      </w:r>
      <w:r>
        <w:rPr>
          <w:rFonts w:ascii="Times New Roman" w:cs="Times New Roman" w:eastAsia="Times New Roman" w:hAnsi="Times New Roman"/>
          <w:sz w:val="18"/>
          <w:szCs w:val="18"/>
          <w:b w:val="1"/>
          <w:bCs w:val="1"/>
          <w:color w:val="auto"/>
        </w:rPr>
        <w:t>Implementation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Regulations</w:t>
      </w:r>
      <w:r>
        <w:rPr>
          <w:rFonts w:ascii="Times New Roman" w:cs="Times New Roman" w:eastAsia="Times New Roman" w:hAnsi="Times New Roman"/>
          <w:sz w:val="18"/>
          <w:szCs w:val="18"/>
          <w:color w:val="auto"/>
        </w:rPr>
        <w:t>”). Both the VAT Law and the Implementation Regulations took effect on January 1, 2026, replacing the Provisional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on Value-added Tax of the PRC and the Detailed Rules for the Implementation of the Provisional Regulations on Value-added Tax of the PRC. Pursuant to the VAT Law and the Implementation Regulations, entities and individuals (including individual businesses) engaged in the sale of goods, services, intangible assets and immovables, as well as the importation of goods, within the territory of the PRC are VAT payers and shall pay VAT in accordance with such laws and regulations. Unless otherwise specified in the aforesaid laws and regulations, taxpayers engaged in the sale of goods, the provision of processing, repair and replacement services, tangible movable property leasing services, or the importation of goods are subject to a VAT rate of 13%.</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Income Tax on Indirect Transfer of Non-PRC Resident Enterprises</w:t>
      </w:r>
    </w:p>
    <w:p>
      <w:pPr>
        <w:spacing w:after="0" w:line="18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December 10, 2009, the STA issued the Notice on Strengthening the Administration of Enterprise Income Tax on Equity Transfers of Non-PRC Resident Enterprises (the “</w:t>
      </w:r>
      <w:r>
        <w:rPr>
          <w:rFonts w:ascii="Times New Roman" w:cs="Times New Roman" w:eastAsia="Times New Roman" w:hAnsi="Times New Roman"/>
          <w:sz w:val="18"/>
          <w:szCs w:val="18"/>
          <w:b w:val="1"/>
          <w:bCs w:val="1"/>
          <w:color w:val="auto"/>
        </w:rPr>
        <w:t>Circular 698</w:t>
      </w:r>
      <w:r>
        <w:rPr>
          <w:rFonts w:ascii="Times New Roman" w:cs="Times New Roman" w:eastAsia="Times New Roman" w:hAnsi="Times New Roman"/>
          <w:sz w:val="18"/>
          <w:szCs w:val="18"/>
          <w:color w:val="auto"/>
        </w:rPr>
        <w:t>”). By promulgating and implementing the Circular 698, the PRC tax authorities enhanced their scrutiny over the indirect transfer of equity interests in a PRC resident enterprise by a non-resident enterprise. The STA further issued the Public Announcement on Several Issues Concerning Enterprise Income Tax for Indirect Transfer of Assets by Non-PRC Resident Enterprises (the “</w:t>
      </w:r>
      <w:r>
        <w:rPr>
          <w:rFonts w:ascii="Times New Roman" w:cs="Times New Roman" w:eastAsia="Times New Roman" w:hAnsi="Times New Roman"/>
          <w:sz w:val="18"/>
          <w:szCs w:val="18"/>
          <w:b w:val="1"/>
          <w:bCs w:val="1"/>
          <w:color w:val="auto"/>
        </w:rPr>
        <w:t>STA Circular 7</w:t>
      </w:r>
      <w:r>
        <w:rPr>
          <w:rFonts w:ascii="Times New Roman" w:cs="Times New Roman" w:eastAsia="Times New Roman" w:hAnsi="Times New Roman"/>
          <w:sz w:val="18"/>
          <w:szCs w:val="18"/>
          <w:color w:val="auto"/>
        </w:rPr>
        <w:t>”) on February 3, 2015, which replaces certain provisions in the Circular 698. The STA Circular 7 introduces a new tax regime that is significantly different from that under the Circular 698. The STA Circular 7 extends its tax jurisdiction to capture not only indirect transfer as set forth under the Circular 698 but also transactions involving transfer of immovable property in China and assets held under the establishment and place, in China of a foreign company through the offshore transfer of a foreign intermediate holding company. The STA Circular 7 also provides clearer criteria than the Circular 698 on how to assess reasonable commercial purposes and introduces safe harbor scenarios applicable to internal group restructurings. Where a non-resident enterprise indirectly transfers equity interests or other assets of a PRC resident enterprise by implementing arrangements that are not for reasonable commercial purposes to avoid its obligation to pay enterprise income tax, such an indirect transfer shall, in accordance with the EIT Law, be recognized by the competent PRC tax authorities as a direct transfer of equity interests or other assets of the PRC resident enterprise.</w:t>
      </w:r>
    </w:p>
    <w:p>
      <w:pPr>
        <w:spacing w:after="0" w:line="170"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On October 17, 2017, the STA promulgated the Announcement on Matters Concerning Withholding and Payment of Income Tax of Non-PRC Resident Enterprises from Source (the “</w:t>
      </w:r>
      <w:r>
        <w:rPr>
          <w:rFonts w:ascii="Times New Roman" w:cs="Times New Roman" w:eastAsia="Times New Roman" w:hAnsi="Times New Roman"/>
          <w:sz w:val="17"/>
          <w:szCs w:val="17"/>
          <w:b w:val="1"/>
          <w:bCs w:val="1"/>
          <w:color w:val="auto"/>
        </w:rPr>
        <w:t>STA Circular 37</w:t>
      </w:r>
      <w:r>
        <w:rPr>
          <w:rFonts w:ascii="Times New Roman" w:cs="Times New Roman" w:eastAsia="Times New Roman" w:hAnsi="Times New Roman"/>
          <w:sz w:val="17"/>
          <w:szCs w:val="17"/>
          <w:color w:val="auto"/>
        </w:rPr>
        <w:t>”), which replaced the Circular 698 and certain provisions in the STA Circular 7 on December 1, 2017 and was partly amended on June 15, 2018. The STA Circular 37, among other things, simplifies the procedures of withholding and payment of income tax levied on non-resident enterprises. Pursuant to STA Circular 37, where the party responsible for withholding such income tax did not, or was unable to, withhold the taxes that should have been withheld to the relevant tax authority, the party may be subject to penalties. Where the non-PRC resident enterprise receiving such income failed to declare and pay taxes that should have been withheld to the relevant tax authority, the party may be ordered to rectify within a specific time limit.</w:t>
      </w:r>
    </w:p>
    <w:p>
      <w:pPr>
        <w:sectPr>
          <w:pgSz w:w="11900" w:h="16838" w:orient="portrait"/>
          <w:cols w:equalWidth="0" w:num="1">
            <w:col w:w="9900"/>
          </w:cols>
          <w:pgMar w:left="980" w:top="513" w:right="1019"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Employment and Social Welfare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Labor Contract Law</w:t>
      </w:r>
    </w:p>
    <w:p>
      <w:pPr>
        <w:spacing w:after="0" w:line="22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PRC employment laws and regulations mainly include the Labor Law of the PRC promulgated by the SCNPC on July 5, 1994, and last amended and became effective on December 29, 2018, the Labor Contract Law of the PRC promulgated by the SCNPC on June 29, 2007, and amended on December 28, 2012 and became effective on July 1, 2013, and the Regulations on the Implementation of the Labor Contract Law promulgated by the State Council and became effective on September 18, 2008. According to such employment laws and regulations, labor relationships between employers and employees must be executed in written form. Wages may not be lower than the local minimum wage standard and must be paid in a timely manner. Employers must establish a system for labor safety and sanitation, strictly abide by state standards and provide relevant training to its employees. It is required that employers provide safe and sanitary working conditions for employees.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Insurance and Housing Fund</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Pursuant to the Social Security Law of the PRC, which was promulgated by the SCNPC on October 28, 2010, and was amended on December 29, 2018, and other relevant PRC laws and regulations such as the Interim Regulations on the Collection and Payment of Social Insurance Premiums effective on January 22, 1999 and amended on March 24, 2019, Regulations on Work Injury Insurance implemented on January 1, 2004 and amended on December 20, 2010, Regulations on Unemployment Insurance promulgated on January 22, 1999 and Trial Measures on Employee Maternity Insurance of Enterprises implemented on January 1, 1995, the employer shall contribute to social insurance plans covering basic pensions insurance, basic medical insurance, maternity insurance, employment injury insurance and unemployment insurance. Basic pension, medical and unemployment insurance contributions shall be paid by both employers and employees, while employment injury insurance and maternity insurance contributions shall be paid only by employers, and employers who failed to promptly contribute social security premiums in full amount shall be ordered by the social security premium collection agency to make or supplement contributions within a stipulated period, and shall be subject to a late payment fee, and where late payment fee is not made within the stipulated period, the relevant administrative authorities shall impose a fine.</w:t>
      </w:r>
    </w:p>
    <w:p>
      <w:pPr>
        <w:spacing w:after="0" w:line="84"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Pursuant to the Regulations on the Administration of Housing Fund, which was promulgated by the State Council on April 3, 1999, and last amended and became effective on March 24, 2019, enterprises in the PRC must register with the competent managing center for housing provident funds and upon the examination by such center, these enterprises shall complete procedures for opening an account at the relevant bank for the deposit of employees’ housing provident funds. Enterprises are also required to pay and deposit housing provident funds on behalf of their employees in full and in a timely manner. Employers that violate these regulations and fail to process housing provident fund payments or deposit registrations with the housing provident fund administration center within a designated period are subject to a fine.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Dispatch</w:t>
      </w:r>
    </w:p>
    <w:p>
      <w:pPr>
        <w:spacing w:after="0" w:line="12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Pursuant to the Interim Provisions on Labor Dispatch issued on January 24, 2014, and implemented on March 1, 2014, by the Ministry of Human Resources and Social Security, employers may only use dispatched workers for temporary, ancillary, or substitute positions. The aforementioned temporary positions shall mean positions lasting for no more than six months; ancillary positions shall mean positions of non-major business that serve positions of major business; and substitute positions shall mean positions that can be substituted by other workers for a certain period during which the workers who originally hold such positions are unable to work as a result of full-time study, being on leave or other reasons. Pursuant to the Interim Provisions on Labor Dispatch, employers should strictly control the number of dispatched workers, and the number of the dispatched workers shall not exceed 10% of the total amount of their employees. Pursuant to the Labor Contract Law, where rectification is not made within the stipulated period, the employers may be subject to a penalty ranging from RMB5,000 to RMB10,000 per dispatched worker exceeding the 10% threshold.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Incentive Plan</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Pursuant to the Notice of Issues Related to the Foreign Exchange Administration for Domestic Individuals Participating in Stock Incentive Plan of Overseas Listed Company, which was issued by the SAFE on February 15, 2012, employees, directors, supervisors, and other senior management who participate in any stock incentive plan of a publicly-listed overseas company and who are PRC citizens or non-PRC citizens residing in China for a continuous period of no less than one year, subject to a few exceptions, are required to register with the SAFE through a qualified domestic agent, which may be a PRC subsidiary of such overseas listed company, and complete certain other procedures.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addition, the STA has issued certain circulars concerning employee stock options and restricted shares. Under these circulars, employees working in the PRC who exercise stock options or are granted restricted shares will be subject to PRC individual income tax. The PRC subsidiaries of an overseas listed company are required to file documents related to employee stock options and restricted shares with relevant tax authorities and to withhold individual income taxes of employees who exercise their stock options or purchase restricted shares. If the employees fail to pay or the PRC subsidiaries fail to withhold income tax in accordance with relevant laws and regulations, the PRC subsidiaries may face sanctions imposed by the tax authorities or other PRC regulatory authorities.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Anti-Monopoly and Anti-Unfair Competition</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Pursuant to the Anti-Monopoly Law promulgated by the SCNPC on August 30, 2007, which was amended on June 24, 2022 and became effective on August 1, 2022, where the concentration of business operators reaches the filing thresholds stipulated by the State Council, business operators shall file a declaration with the SAMR, and no concentration shall be implemented until the SAMR clears the anti-monopoly filing. On February 7, 2021, the Anti-Monopoly Committee of the State Council promulgated the Anti-monopoly Guidelines for the Platform Economy Sector (the “Anti-monopoly Guideline”), aiming to improve anti-monopoly administration on online platforms. The Anti-monopoly Guideline, operating as the compliance guidance under the existing PRC anti-monopoly regulatory regime for platform economy operators, specifically prohibits certain acts of the platform economy operators that may have the effect of eliminating or limiting market competition, such as concentration of undertakings.</w:t>
      </w:r>
    </w:p>
    <w:p>
      <w:pPr>
        <w:spacing w:after="0" w:line="19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Pursuant to the Anti-Unfair Competition Law promulgated by the SCNPC on September 2, 1993, which was amended on June 27, 2025 and became effective on October 15, 2025, operators are prohibited from engaging in unfair competition activities such as market confusion, commercial bribery, misleading false publicity, infringement on trade secrets, price dumping, and illegitimate premium sales. Any operator in violation of the Anti-Unfair Competition Law may be ordered to cease illegal activities, eliminate the adverse effect thereof or compensate for the damages caused to any other party. The competent authorities may also confiscate any illegal gains or impose fines on these operators.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M&amp;A Rules and Overseas Listings</w:t>
      </w:r>
    </w:p>
    <w:p>
      <w:pPr>
        <w:spacing w:after="0" w:line="229" w:lineRule="exact"/>
        <w:rPr>
          <w:sz w:val="20"/>
          <w:szCs w:val="20"/>
          <w:color w:val="auto"/>
        </w:rPr>
      </w:pPr>
    </w:p>
    <w:p>
      <w:pPr>
        <w:ind w:firstLine="369"/>
        <w:spacing w:after="0" w:line="253" w:lineRule="auto"/>
        <w:rPr>
          <w:sz w:val="20"/>
          <w:szCs w:val="20"/>
          <w:color w:val="auto"/>
        </w:rPr>
      </w:pPr>
      <w:r>
        <w:rPr>
          <w:rFonts w:ascii="Times New Roman" w:cs="Times New Roman" w:eastAsia="Times New Roman" w:hAnsi="Times New Roman"/>
          <w:sz w:val="18"/>
          <w:szCs w:val="18"/>
          <w:color w:val="auto"/>
        </w:rPr>
        <w:t>On August 8, 2006, six PRC regulatory agencies, including the MOFCOM, State-owned Assets Supervision and Administration Commission of the State Council, STA, State Administration for Industry and Commerce of the PRC, CSRC and SAFE, issued the Regulations on Merger with and Acquisition of Domestic Enterprises by Foreign Investors (the “</w:t>
      </w:r>
      <w:r>
        <w:rPr>
          <w:rFonts w:ascii="Times New Roman" w:cs="Times New Roman" w:eastAsia="Times New Roman" w:hAnsi="Times New Roman"/>
          <w:sz w:val="18"/>
          <w:szCs w:val="18"/>
          <w:b w:val="1"/>
          <w:bCs w:val="1"/>
          <w:color w:val="auto"/>
        </w:rPr>
        <w:t>M&amp;A Rules</w:t>
      </w:r>
      <w:r>
        <w:rPr>
          <w:rFonts w:ascii="Times New Roman" w:cs="Times New Roman" w:eastAsia="Times New Roman" w:hAnsi="Times New Roman"/>
          <w:sz w:val="18"/>
          <w:szCs w:val="18"/>
          <w:color w:val="auto"/>
        </w:rPr>
        <w:t>”), which became effective on September 8, 2006 and was amended on June 22, 2009. The M&amp;A Rules, among other things, require that if an overseas company established or controlled by PRC companies or individuals intends to acquire equity interests or assets of any other PRC domestic company affiliated with such PRC companies or individuals, such acquisition must be submitted to MOFCOM for approval. The M&amp;A Rules also require offshore special purpose vehicles that controlled by PRC companies or individuals and formed for overseas listing purposes through acquisitions of PRC domestic companies or subscription of new shares issued by PRC domestic company using the equity of offshore special purpose vehicles or using its new shares as consideration, to obtain the approval of China Securities Regulatory Commission prior to publicly listing their securities on an overseas stock exchange.</w:t>
      </w:r>
    </w:p>
    <w:p>
      <w:pPr>
        <w:spacing w:after="0" w:line="19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February 3, 2011, the General Office of the State Council promulgated a Notice on Establishing the Security Review System for Mergers and Acquisitions of Domestic Enterprises by Foreign Investors (the “</w:t>
      </w:r>
      <w:r>
        <w:rPr>
          <w:rFonts w:ascii="Times New Roman" w:cs="Times New Roman" w:eastAsia="Times New Roman" w:hAnsi="Times New Roman"/>
          <w:sz w:val="18"/>
          <w:szCs w:val="18"/>
          <w:b w:val="1"/>
          <w:bCs w:val="1"/>
          <w:color w:val="auto"/>
        </w:rPr>
        <w:t>Circular 6</w:t>
      </w:r>
      <w:r>
        <w:rPr>
          <w:rFonts w:ascii="Times New Roman" w:cs="Times New Roman" w:eastAsia="Times New Roman" w:hAnsi="Times New Roman"/>
          <w:sz w:val="18"/>
          <w:szCs w:val="18"/>
          <w:color w:val="auto"/>
        </w:rPr>
        <w:t>”), which officially established a security review system for mergers and acquisitions of domestic enterprises by foreign investors. Further, on August 25, 2011, MOFCOM promulgated the Regulations on Implementation of Security Review System for the Merger and Acquisition of Domestic Enterprises by Foreign Investors (the “</w:t>
      </w:r>
      <w:r>
        <w:rPr>
          <w:rFonts w:ascii="Times New Roman" w:cs="Times New Roman" w:eastAsia="Times New Roman" w:hAnsi="Times New Roman"/>
          <w:sz w:val="18"/>
          <w:szCs w:val="18"/>
          <w:b w:val="1"/>
          <w:bCs w:val="1"/>
          <w:color w:val="auto"/>
        </w:rPr>
        <w:t>MOFCOM Security Review Regulations</w:t>
      </w:r>
      <w:r>
        <w:rPr>
          <w:rFonts w:ascii="Times New Roman" w:cs="Times New Roman" w:eastAsia="Times New Roman" w:hAnsi="Times New Roman"/>
          <w:sz w:val="18"/>
          <w:szCs w:val="18"/>
          <w:color w:val="auto"/>
        </w:rPr>
        <w:t>”), which became effective on September 1, 2011, to implement Circular 6. Under Circular 6, a security review is required for mergers and acquisitions by foreign investors having “national defense and security” concerns and mergers and acquisitions by which foreign investors may acquire the “de facto control” of domestic enterprises with “national security” concerns. Under the MOFCOM Security Review Regulations, MOFCOM will focus on the substance and actual impact of the transaction when deciding whether a specific merger or acquisition is subject to security review. If MOFCOM decides that a specific merger or acquisition is subject to security review, it will submit it to the Inter-Ministerial Panel, an authority established under the Circular 6 led by the NDRC, and MOFCOM under the leadership of the State Council, to carry out the security review. The regulations prohibit foreign investors from bypassing the security review by structuring transactions through trusts, indirect investments, leases, loans, control through contractual arrangements or offshore transactions.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February 17, 2023, the CSRC published the Trial Administrative Measures of the Overseas Securities Offering and Listing by Domestic Companies and five supporting guidelines, collectively the Overseas Listing Filing Rules, which came into effect from March 31, 2023 and regulate both direct and indirect overseas offering and listing of PRC-based companies by adopting a filing-based regulatory regime. According to the Overseas Listing Filing Rules, if the issuer meets both of the following criteria, the overseas securities offering and listing conducted by such issuers shall be deemed as indirect overseas offering and listing: (i) more than 50% of the issuer’s operating revenue, total profit, total assets or net assets as documented in its audited consolidated financial statements for the most recent accounting year is accounted for by domestic companies; and (ii) the main parts of the issuer’s business activities are conducted in China, or its main places of business are located in China, or the senior managers in charge of its business operation and management are majority Chinese citizens or domiciled in China.</w:t>
      </w:r>
    </w:p>
    <w:p>
      <w:pPr>
        <w:spacing w:after="0" w:line="18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Overseas Listing Filing Rules provide that (i) the filing applications be submitted to the CSRC within three business days after the issuer submits its application documents relating to the initial public offering and/or listing in overseas; (ii) a timely report be submitted to the CSRC and update its CSRC filing within three business days after the occurrence of any of the following material events, if any of the following events occurs before the completion of the overseas offering and/or listing but after the completion of its CSRC filing: (a) any material change to principal business, licenses or qualifications of the issuer, (b) a change of control of the issuer or any material change to equity structure of the issuer, and (c) any material change to the offering and listing plan; (iii) after the completion of the listing, a report relating to the issuance information of such offering and/or listing be submitted to the CSRC and a report be submitted to the CSRC within three business days upon the occurrence and public announcement of any of the following material events after the overseas offering and/or listing: (a) a change of control of the issuer, (b) the investigation, sanction or other measures undertaken by any foreign securities regulatory agencies or relevant competent authorities in respect of the issuer, (c) change of the listing status or transfer of the listing board, and (d) the voluntary or mandatory delisting of the issuer; and (iv) where there is material change in the main business of the issuer after overseas offering and listing, which does not apply to the Overseas Listing Filing Rules therefore, such issuer shall submit to the CSRC a report and a relevant legal opinion issued by a domestic law firm within three business days after occurrence of such change. The Overseas Listing Filing Rules states that, any post-listing follow-on offering by an issuer in the same overseas market, including issuance of shares, convertible notes and other similar securities, shall be subject to filing requirement within three business days after the completion of the offering. Therefore, any of our future offering and listing of our securities in an overseas market shall be subject to the filing requirements under the Overseas Listing Filing Rules.</w:t>
      </w:r>
    </w:p>
    <w:p>
      <w:pPr>
        <w:spacing w:after="0" w:line="193"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Based on the Overseas Listing Trial Measures, violation of the Overseas Listing Trial Measures or the completion of an overseas listing in breach of the conditions listed in the Overseas Listing Trial Measures may result in rectification, warning and a fine ranging from RMB1,000,000 to RMB10,000,000. Furthermore, the controlling shareholders and actual controllers of the relevant PRC domestic companies that organize or instruct such violations or enable such violations by concealing relevant matters, may be subject to a fine ranging from RMB1,000,000 to RMB10,000,000; and the directly responsible supervisors and other directly liable persons may be subject to warning and a fine ranging from RMB500,000 to RMB5,000,000.</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February 24, 2023, the CSRC, together with other governmental authorities, released the Provisions on Strengthening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Confidentiality and Archives Administration Related to the Overseas Securities Offering and Listing by Domestic Enterprises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Confidentiality and Archives Administration Provisions</w:t>
      </w:r>
      <w:r>
        <w:rPr>
          <w:rFonts w:ascii="Times New Roman" w:cs="Times New Roman" w:eastAsia="Times New Roman" w:hAnsi="Times New Roman"/>
          <w:sz w:val="18"/>
          <w:szCs w:val="18"/>
          <w:color w:val="auto"/>
        </w:rPr>
        <w:t>”), which became effective from March 31, 2023 and aims to expand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scope of the regulation to indirect overseas offerings and listings by PRC domestic companies and emphasize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confidentiality and archive management duties of PRC domestic companies during the process of overseas offerings and listings.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Confidentiality and Archives Administration Provisions require, among others, that PRC domestic enterprises seeking to offer and list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in overseas markets, either directly or indirectly, shall establish the confidentiality and archives system, and shall complete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and filing procedures with competent authorities, if such PRC domestic enterprises or their overseas listing entities provide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publicly disclose documents or materials involving state secrets and work secrets of PRC government agencies to relevant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securities service institutions, overseas regulatory agencies and other entities and individuals.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Regulations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While autonomous driving laws and regulations are expected to continue to evolve in numerous jurisdictions in the United States, there has been relatively little mandatory government regulation of the autonomous driving industry to date in the United States. At both the federal and state levels, the United States provides a positive regulatory environment to permit safe testing and development of autonomous vehicle functionality. Currently, there are no Federal Motor Vehicle Safety Standards (“FMVSS”) that relate to the performance of autonomous driving technology. Further, there are currently no widely accepted uniform standards to certify autonomous driving technology and its commercial use on public roads.</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of now, the safety of commercial motor vehicles is regulated by the NHTSA and the Federal Motor Carrier Safety Administration (the “FMCSA”). NHTSA establishes the FFMVSS for motor vehicles and motor vehicle equipment and oversees the actions that manufacturers of motor vehicles and motor vehicle equipment are required to take regarding the reporting of information related to defects or injuries related to their products and the recall and repair of vehicles and equipment that contain safety defects or fail to comply with the FMVSS. FMCSA regulates the safety of commercial motor carriers operating in interstate commerce, the qualifications and safety of commercial motor vehicle drivers, and the safe operation of commercial trucks.</w:t>
      </w:r>
    </w:p>
    <w:p>
      <w:pPr>
        <w:spacing w:after="0" w:line="14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Motor vehicle equipment manufacturers are subject to existing stringent requirements under the Vehicle Safety Act, including a duty to report, subject to strict timing requirements, safety defects. The Vehicle Safety Act imposes potentially significant civil penalties for violations including the failure to comply with such reporting actions. They are also subject to the existing TREAD Act, which requires motor vehicle equipment manufacturers to comply with “Early Warning” requirements by reporting certain information to the NHTSA, such as information related to defects or reports of injury. The TREAD Act imposes criminal liability for violating such requirements if a defect subsequently causes death or bodily injury.</w:t>
      </w:r>
    </w:p>
    <w:p>
      <w:pPr>
        <w:spacing w:after="0" w:line="14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At the state level, states, such as Arizona, Florida, Nevada, and Texas, continue to attract autonomous driving companies with a welcoming regulatory climate that provides the predictability necessary to deploy autonomous driving technology in those communities. Some states, particularly California, impose restrictions and enforce some operational or registration requirements for certain autonomous functions, and many other states are still considering them.</w:t>
      </w:r>
    </w:p>
    <w:p>
      <w:pPr>
        <w:spacing w:after="0" w:line="15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the autonomous driving industry is also subject to trade, customs product classification and sourcing regulations as well as various federal, state and local laws and regulations governing the occupational health and safety of our employees and wage regulations. Specifically, it is subject to the laws and regulations of export controls, including the U.S. Department of Commerce’s Export Administration Regulations, and the requirements of the federal Occupational Safety and Health Act, as amended, and comparable state laws that protect and regulate employee health and safety. Moreover, it’s subject to environmental regulations, including water use; air emissions; use of recycled materials; energy sources; the storage, handling, treatment, transportation and disposal of hazardous materials; and the remediation of environmental contamination. Compliance with these rules may include permits, licenses and inspections of company facilities and products.</w:t>
      </w:r>
    </w:p>
    <w:p>
      <w:pPr>
        <w:spacing w:after="0" w:line="151"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U.S. federal government and various states and governmental agencies also have adopted or are considering adopting various laws, regulations, and standards regarding the collection, use, retention, security, disclosure, transfer, and other processing of sensitive and personal information. In addition, many states have laws that protect the privacy and security of sensitive and personal information. Certain state laws may be more stringent or broader in scope, or offer greater individual rights, with respect to sensitive and personal information than federal, international, or other state laws, and such laws may differ from each other, which may complicate compliance efforts. For example, in 2018, California enacted the California Consumer Privacy Act, which came into effect on January 1, 2020, and has since been amended by the California Privacy Rights Act which came into effect on January 1, 2023 (collectively, the “CCPA”). The CCPA creates individual privacy rights for California residents, including rights to opt out of certain processing such as the transfer of personal information for the purpose of cross contextual behavioral advertising, the processing of sensitive personal information for certain purposes, as well as “sales” of personal information, and increases the privacy and security obligations of entities handling personal information of California consumers and meeting certain thresholds. The CCPA is currently enforceable by the California Attorney General, and provides for civil penalties for violations as well as a private right of action for certain data breaches that result in the unauthorized access to, or exfiltration, theft or disclosure of certain types of personal information. This private right of action is expected to increase the likelihood of, and risks associated with, class action data breach litigation. Though regulatory fines have been imposed, the CCPA has not been subject to significant litigation and judicial interpretation and it remains unclear how various provisions will be enforced. Additionally, the CCPA’s further expansion under the California Privacy Rights Act may impact our business particularly given its establishment of a new regulatory agency dedicated to enforcing the CCPA’s requirements in addition to the California Attorney General, potentially resulting in further uncertainty and requiring us to incur additional costs and expenses, and potentially change our business practices, in an effort to comply.</w:t>
      </w:r>
    </w:p>
    <w:p>
      <w:pPr>
        <w:spacing w:after="0" w:line="150"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In addition, many similar laws have been proposed at the federal level and in other states. For instance, the state of Nevada recently enacted a law that went into force on October 1, 2019 and requires companies to honor consumers’ requests to no longer sell their data. Violators may be subject to injunctions and civil penalties of up to $5,000 per violation. New legislation proposed or enacted in Illinois, Massachusetts, New Jersey, New York, Rhode Island, Washington, and other states, and a proposed right to privacy amendment to the Vermont Constitution, imposes, or has the potential to impose, additional obligations on companies that collect, store, use, retain, disclose, transfer, and otherwise process confidential, sensitive, and personal information, and will continue to shape the data privacy environment throughout the United States. State laws are changing rapidly and there is discussion in the U.S. Congress of a new federal data protection and privacy law to which the autonomous driving industry would become subject if it is enacted.</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For detailed discussion of other applicable U.S. Regulations, see “Item 3. Key Information—3.D. Risk Factors—Risks Related to Doing Business in China—We could be negatively impacted by possible changes to the U.S. government’s new China-focused Outbound Investment Program; these developments may adversely affect our business, financial condition, results of operations, and the value of the ADS,” “—Tensions in international trade and investment and rising political tensions, particularly between the United States and China, may adversely impact our business, financial condition, and results of operations,” and “—We are subject to U.S. export controls that could restrict our ability to transfer certain of our products and technologies, both within our company or to external parties, including potential customers; increasingly restrictive U.S. export controls directed toward China, in particular its artificial intelligence industry, could also limit our ability to obtain advanced semiconductors and other technology that could be needed to develop our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4.C. Organizational Structure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chart shows our corporate structure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154305</wp:posOffset>
            </wp:positionV>
            <wp:extent cx="6052185" cy="27692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52185" cy="276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w:t>
      </w:r>
    </w:p>
    <w:p>
      <w:pPr>
        <w:spacing w:after="0" w:line="217" w:lineRule="exact"/>
        <w:rPr>
          <w:sz w:val="20"/>
          <w:szCs w:val="20"/>
          <w:color w:val="auto"/>
        </w:rPr>
      </w:pPr>
    </w:p>
    <w:p>
      <w:pPr>
        <w:ind w:left="460" w:right="60" w:hanging="452"/>
        <w:spacing w:after="0" w:line="302" w:lineRule="auto"/>
        <w:tabs>
          <w:tab w:leader="none" w:pos="4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2022, Cyantron Logistics Technology Co., Ltd. was incorporated under the laws of the PRC. Shareholders of Cyantron Logistics Technology Co., Ltd. are Beijing (HX) Pony and Sinotrans, each holding 51.0% and 49.0% of its equity interests, respectively.</w:t>
      </w:r>
    </w:p>
    <w:p>
      <w:pPr>
        <w:spacing w:after="0" w:line="175" w:lineRule="exact"/>
        <w:rPr>
          <w:rFonts w:ascii="Times New Roman" w:cs="Times New Roman" w:eastAsia="Times New Roman" w:hAnsi="Times New Roman"/>
          <w:sz w:val="14"/>
          <w:szCs w:val="14"/>
          <w:color w:val="auto"/>
        </w:rPr>
      </w:pPr>
    </w:p>
    <w:p>
      <w:pPr>
        <w:ind w:left="460" w:right="40" w:hanging="452"/>
        <w:spacing w:after="0" w:line="292" w:lineRule="auto"/>
        <w:tabs>
          <w:tab w:leader="none" w:pos="4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Yancheng Poplar LLP is a limited partnership incorporated under the laws of the PRC. Beijing (ZX) Pony AI Technology Co., Ltd. is the general partner of Yancheng Poplar LLP, holding approximately 62% of its interest. The remaining 38% interest in Yancheng Poplar LLP is held by another limited partnership as the limited partner.</w:t>
      </w:r>
    </w:p>
    <w:p>
      <w:pPr>
        <w:spacing w:after="0" w:line="181" w:lineRule="exact"/>
        <w:rPr>
          <w:rFonts w:ascii="Times New Roman" w:cs="Times New Roman" w:eastAsia="Times New Roman" w:hAnsi="Times New Roman"/>
          <w:sz w:val="14"/>
          <w:szCs w:val="14"/>
          <w:color w:val="auto"/>
        </w:rPr>
      </w:pPr>
    </w:p>
    <w:p>
      <w:pPr>
        <w:ind w:left="460" w:hanging="452"/>
        <w:spacing w:after="0" w:line="302" w:lineRule="auto"/>
        <w:tabs>
          <w:tab w:leader="none" w:pos="4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Hongkong Pony AI Limited has another two wholly-owned subsidiaries, including Company Pony AI (registered in Saudi Arabia) and PONY AI-FZCO (registered in United Arab Emirates).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Prior Contractual Arrangements with the Former VIEs and Their Shareholders</w:t>
      </w:r>
    </w:p>
    <w:p>
      <w:pPr>
        <w:spacing w:after="0" w:line="18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Historically, we established a series of contractual arrangements with the former VIEs and their shareholders although our business was not subject to any foreign ownership restrictions under the applicable PRC laws and regulations.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Pony AI Inc. is an exempted company registered in the Cayman Islands. Beijing (HX) Pony and Guangzhou (HX) Pony, our PRC subsidiaries, are considered foreign-invested enterprises. Beijing (HX) Pony and Hongkong Pony AI entered into a series of contractual arrangements with Beijing (ZX) Pony as well as its shareholders. Guangzhou (HX) Pony and Hongkong Pony AI entered into a series of contractual arrangements with Guangzhou (ZX) Pony as well as its shareholders. As a result of these prior contractual arrangements, we exerted effective control over, and were considered the primary beneficiary of, the former VIEs and consolidated their operating results in its financial statements under the U.S. GAAP, for accounting purposes, for the years ended December 31, 2023 and 2024.</w:t>
      </w:r>
    </w:p>
    <w:p>
      <w:pPr>
        <w:spacing w:after="0" w:line="18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terminated the contractual arrangements among our former WFOEs, the former VIEs and their respective nominee shareholders, and acquired the shares of the former VIEs from their respective nominee shareholders, after which the former VIEs have become wholly-owned subsidiaries of our company since February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4.D. Property, Plant and Equipment</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principal executive office is located in Guangzhou, China, with an aggregate of 25,406.85 square meters, primarily for corporate administration as well as research and development. We currently do not own any properties. As of December 31, 2025, we had leased properties in Beijing, Shanghai, Shenzhen and some other cities in China, with a total of 58,575.61 square meters, primarily for office, research and development and fleet operation uses. In addition, we operate internationally with leased offices and facilities in the United States, including Fremont, California, with an aggregate of 36,403 square feet. We believe that our current facilities are adequate to meet our current needs.</w:t>
      </w:r>
    </w:p>
    <w:p>
      <w:pPr>
        <w:spacing w:after="0" w:line="19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OPERATING AND FINANCIAL REVIEW AND PROSPECTS</w:t>
      </w:r>
    </w:p>
    <w:p>
      <w:pPr>
        <w:spacing w:after="0" w:line="22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related notes included elsewhere in this annual report.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“Item 3.D. Risk Factors” and “Forward-looking Information” included elsewhere in this annual report.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5.A.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w:t>
      </w:r>
    </w:p>
    <w:p>
      <w:pPr>
        <w:spacing w:after="0" w:line="20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Our business and results of operations are affected by a number of general factors that impact our ability to capitalize on the growth of our total addressable market, including overall economic growth in China and globally, technological advancement, public perception towards our technology, geopolitical relations, regulatory oversight and competitive landscape within our industry. Changes in any of these general factors could affect our business and results of operations.</w:t>
      </w:r>
    </w:p>
    <w:p>
      <w:pPr>
        <w:spacing w:after="0" w:line="180"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addition, in light of the current stage of our development (particularly our large-scale commercialization efforts), we believe that our future financial position and results of operations depend to a significant extent on (i) our ability to execute our go-to-market strategies to commercialize our technology at scale, (ii) our R&amp;D efforts and investments, (iii) our strategic partnerships, and (iv) our operational efficiency, as elaborated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Execute Our Go-to-Market Strategies to Commercialize Our Autonomous Driving Technology at Scale</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ability to generate sustainable revenues and become financially profitable in the long term depends largely upon the progression of the large-scale commercial deployment of our autonomous driving technology. To date, we have achieved milestones in developing our </w:t>
      </w:r>
      <w:r>
        <w:rPr>
          <w:rFonts w:ascii="Times New Roman" w:cs="Times New Roman" w:eastAsia="Times New Roman" w:hAnsi="Times New Roman"/>
          <w:sz w:val="18"/>
          <w:szCs w:val="18"/>
          <w:i w:val="1"/>
          <w:iCs w:val="1"/>
          <w:color w:val="auto"/>
        </w:rPr>
        <w:t>Virtual Driver</w:t>
      </w:r>
      <w:r>
        <w:rPr>
          <w:rFonts w:ascii="Times New Roman" w:cs="Times New Roman" w:eastAsia="Times New Roman" w:hAnsi="Times New Roman"/>
          <w:sz w:val="18"/>
          <w:szCs w:val="18"/>
          <w:color w:val="auto"/>
        </w:rPr>
        <w:t xml:space="preserve"> that enables safe, reliable autonomous driving experience, and we are transitioning from technology development to mass deployment across different commercial use cases, primarily robotaxi and robotruck services:</w:t>
      </w:r>
    </w:p>
    <w:p>
      <w:pPr>
        <w:spacing w:after="0" w:line="176" w:lineRule="exact"/>
        <w:rPr>
          <w:sz w:val="20"/>
          <w:szCs w:val="20"/>
          <w:color w:val="auto"/>
        </w:rPr>
      </w:pPr>
    </w:p>
    <w:p>
      <w:pPr>
        <w:ind w:left="660" w:right="380" w:hanging="328"/>
        <w:spacing w:after="0" w:line="268" w:lineRule="auto"/>
        <w:tabs>
          <w:tab w:leader="none" w:pos="660" w:val="left"/>
        </w:tabs>
        <w:numPr>
          <w:ilvl w:val="0"/>
          <w:numId w:val="49"/>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i w:val="1"/>
          <w:iCs w:val="1"/>
          <w:color w:val="auto"/>
        </w:rPr>
        <w:t>Robotaxi services</w:t>
      </w:r>
      <w:r>
        <w:rPr>
          <w:rFonts w:ascii="Times New Roman" w:cs="Times New Roman" w:eastAsia="Times New Roman" w:hAnsi="Times New Roman"/>
          <w:sz w:val="18"/>
          <w:szCs w:val="18"/>
          <w:color w:val="auto"/>
        </w:rPr>
        <w:t>: We were among the first in China to obtain licenses to operate fully driverless vehicles in all four Tier-1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cities in China, and have begun to offer public-facing fare-charging robotaxi services without safety drivers in Beijing, Shanghai, Guangzhou and Shenzhen. As of March 31, 2026, we operated a fleet consisting of over 1,400 robotaxis.</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hanging="328"/>
        <w:spacing w:after="0" w:line="316" w:lineRule="auto"/>
        <w:tabs>
          <w:tab w:leader="none" w:pos="660" w:val="left"/>
        </w:tabs>
        <w:numPr>
          <w:ilvl w:val="0"/>
          <w:numId w:val="50"/>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i w:val="1"/>
          <w:iCs w:val="1"/>
          <w:color w:val="auto"/>
        </w:rPr>
        <w:t>Robotruck services</w:t>
      </w:r>
      <w:r>
        <w:rPr>
          <w:rFonts w:ascii="Times New Roman" w:cs="Times New Roman" w:eastAsia="Times New Roman" w:hAnsi="Times New Roman"/>
          <w:sz w:val="17"/>
          <w:szCs w:val="17"/>
          <w:color w:val="auto"/>
        </w:rPr>
        <w:t>: We operated a fleet of 210 robotrucks as of March 31, 2026, consisting of both Level 2++ intelligent trucks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Level 4 autonomous trucks, with safety drivers to fulfill its freight orders within its existing nationwide logistics network.</w:t>
      </w:r>
    </w:p>
    <w:p>
      <w:pPr>
        <w:spacing w:after="0" w:line="132" w:lineRule="exact"/>
        <w:rPr>
          <w:rFonts w:ascii="Arial" w:cs="Arial" w:eastAsia="Arial" w:hAnsi="Arial"/>
          <w:sz w:val="17"/>
          <w:szCs w:val="17"/>
          <w:b w:val="1"/>
          <w:bCs w:val="1"/>
          <w:color w:val="auto"/>
        </w:rPr>
      </w:pPr>
    </w:p>
    <w:p>
      <w:pPr>
        <w:ind w:left="660" w:right="120" w:hanging="328"/>
        <w:spacing w:after="0" w:line="259" w:lineRule="auto"/>
        <w:tabs>
          <w:tab w:leader="none" w:pos="660" w:val="left"/>
        </w:tabs>
        <w:numPr>
          <w:ilvl w:val="0"/>
          <w:numId w:val="50"/>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i w:val="1"/>
          <w:iCs w:val="1"/>
          <w:color w:val="auto"/>
        </w:rPr>
        <w:t>Licensing and applications</w:t>
      </w:r>
      <w:r>
        <w:rPr>
          <w:rFonts w:ascii="Times New Roman" w:cs="Times New Roman" w:eastAsia="Times New Roman" w:hAnsi="Times New Roman"/>
          <w:sz w:val="18"/>
          <w:szCs w:val="18"/>
          <w:color w:val="auto"/>
        </w:rPr>
        <w:t>: Our licensing and applications business has secured contracts of ADAS solutions, proprietary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vehicle domain controller products and data analytics tools from OEMs and other industry participants. We capitalize on our robust technology capabilities by offering POV intelligent driving solutions and other value-added technological services. We also offer V2X (vehicle-to-everything) products and services to enhance road safety and improve transportation efficiency and experience.</w:t>
      </w:r>
    </w:p>
    <w:p>
      <w:pPr>
        <w:spacing w:after="0" w:line="18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While we have started generating revenues from these initial commercialization attempts, we expect both the scale and composition of our revenues to vary significantly once we achieve large-scale commercial deployment of our autonomous driving technology through executing our go-to-market strategies. Specifically, we will focus on generating revenues for our robotaxi and robotruck services in the near future. However, should our assumptions about our go-to-market strategies prove overly optimistic, or if we fail to execute our go-to-market strategies cost-effectively and achieve significant milestones along the way towards commercialization, we may fail to generate revenues and operating cash flow and may experience delays to our ability to achieve profitability. This may also result in changes in our go-to-market strategies, which could lead to unanticipated cost overruns. See “Item 3. Key Information—3.D. Risk Factors—Risks Related to Our Business and Industry—Autonomous driving is an emerging and rapidly evolving technology and involves significant risks and uncertainties.”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Investments in Technology Development and Innovation</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believe our leadership in the autonomous driving industry is underpinned by our robust technological capabilities. We have historically dedicated significant resources towards research and development. In 2023, 2024 and 2025, we recorded research and development expenses of US$122.7 million, US$240.2 million and US$</w:t>
      </w:r>
      <w:r>
        <w:rPr>
          <w:rFonts w:ascii="Times New Roman" w:cs="Times New Roman" w:eastAsia="Times New Roman" w:hAnsi="Times New Roman"/>
          <w:sz w:val="18"/>
          <w:szCs w:val="18"/>
          <w:color w:val="231F20"/>
        </w:rPr>
        <w:t>217.4</w:t>
      </w:r>
      <w:r>
        <w:rPr>
          <w:rFonts w:ascii="Times New Roman" w:cs="Times New Roman" w:eastAsia="Times New Roman" w:hAnsi="Times New Roman"/>
          <w:sz w:val="18"/>
          <w:szCs w:val="18"/>
          <w:color w:val="auto"/>
        </w:rPr>
        <w:t xml:space="preserve"> million, respectively, among which 61.6%, 76.9% and </w:t>
      </w:r>
      <w:r>
        <w:rPr>
          <w:rFonts w:ascii="Times New Roman" w:cs="Times New Roman" w:eastAsia="Times New Roman" w:hAnsi="Times New Roman"/>
          <w:sz w:val="18"/>
          <w:szCs w:val="18"/>
          <w:color w:val="231F20"/>
        </w:rPr>
        <w:t>60.2</w:t>
      </w:r>
      <w:r>
        <w:rPr>
          <w:rFonts w:ascii="Times New Roman" w:cs="Times New Roman" w:eastAsia="Times New Roman" w:hAnsi="Times New Roman"/>
          <w:sz w:val="18"/>
          <w:szCs w:val="18"/>
          <w:color w:val="000000"/>
        </w:rPr>
        <w:t>% were employee compensation for our research and development staff. Specifically, we have invested heavily in recruiting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retaining talent, especially engineers and scientists with expertise and experience in machine learning, software algorithms, and vehicle engineering. As we believe our market success and financial performance will significantly depend on our ability to maintain our technological leadership, we will continue to invest in technology development and innovation to grow our competitive strengths against our peers. As our business expands, we also seek to consolidate our internal research and development functions to optimize resource allocation and improve efficiency in technology development.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Deepen and Expand Strategic Partnerships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have historically benefited from our strategic relationships with business partners, including leading OEMs, TNCs, logistics platforms, hardware component companies and other industry stakeholders. These strategic partnerships have allowed us to focus our endeavors on technology development while improving our ability to scale and monetize our technology globally in the long run. To achieve large-scale commercial deployment of our autonomous driving technology, we plan to deepen our relationships with existing partners and explore new collaboration opportunities across different areas. For example, we will continue to collaborate with leading OEMs on the one hand, to rapidly scale our autonomous vehicle fleets, and with TNCs and logistics platforms on the other hand to accelerate the commercial deployment of our robotaxi and robotruck services. Guided by our established go-to-market strategies, we will also seek to expand our collaborative ecosystem along the industry value chain.</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Improve Operating Efficiency</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aim to improve operating efficiency in every aspect of our business, such as research and development, supply chain, collaboration with business partners, sales and marketing, as well as service offerings. As we continue to scale our autonomous driving technology, we also intend to improve our operational efficiency with a view towards achieving long-term profitability. For example, we operate our autonomous vehicle fleets both by ourselves and through collaboration with third-party “fleet companies” funded by third-party fleet owners. Under such business model, these third-party fleet owners bear substantially all of capital expenditure related to fleet acquisition and other fleet operating costs and expenses. Additionally, we have sought to enhance the management of our operating expenses by implementing various expense control measures. As a result, our cost mix and operating expenses may vary significantly in the future as our revenue models continue to evolve and as our operating efficiency continues to improve through economies of scale.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are at a relatively early stage of generating revenues and diversifying our customer base. In the past, we have generated our revenues from (i) robotaxi services, (ii) robotruck services, and (iii) licensing and applications and have experienced significant changes in our revenue mix. We expect the scale and composition of our revenues to continue to vary significantly in the future as we continue to execute our go-to-market strategies.</w:t>
      </w:r>
    </w:p>
    <w:p>
      <w:pPr>
        <w:spacing w:after="0" w:line="13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breakdown of our revenues by business activities, in absolute amounts and as percentages of total revenues, for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r>
      <w:tr>
        <w:trPr>
          <w:trHeight w:val="142"/>
        </w:trPr>
        <w:tc>
          <w:tcPr>
            <w:tcW w:w="5360" w:type="dxa"/>
            <w:vAlign w:val="bottom"/>
          </w:tcPr>
          <w:p>
            <w:pPr>
              <w:spacing w:after="0"/>
              <w:rPr>
                <w:sz w:val="12"/>
                <w:szCs w:val="12"/>
                <w:color w:val="auto"/>
              </w:rPr>
            </w:pPr>
          </w:p>
        </w:tc>
        <w:tc>
          <w:tcPr>
            <w:tcW w:w="920" w:type="dxa"/>
            <w:vAlign w:val="bottom"/>
            <w:tcBorders>
              <w:bottom w:val="single" w:sz="8" w:color="auto"/>
            </w:tcBorders>
            <w:gridSpan w:val="4"/>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r>
      <w:tr>
        <w:trPr>
          <w:trHeight w:val="142"/>
        </w:trPr>
        <w:tc>
          <w:tcPr>
            <w:tcW w:w="5360" w:type="dxa"/>
            <w:vAlign w:val="bottom"/>
          </w:tcPr>
          <w:p>
            <w:pPr>
              <w:ind w:left="52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8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  US$</w:t>
            </w:r>
          </w:p>
        </w:tc>
        <w:tc>
          <w:tcPr>
            <w:tcW w:w="2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  US$</w:t>
            </w:r>
          </w:p>
        </w:tc>
        <w:tc>
          <w:tcPr>
            <w:tcW w:w="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36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142"/>
        </w:trPr>
        <w:tc>
          <w:tcPr>
            <w:tcW w:w="5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60" w:type="dxa"/>
            <w:vAlign w:val="bottom"/>
            <w:gridSpan w:val="9"/>
          </w:tcPr>
          <w:p>
            <w:pPr>
              <w:jc w:val="center"/>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16"/>
        </w:trPr>
        <w:tc>
          <w:tcPr>
            <w:tcW w:w="53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Robotaxi services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536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Robotruck services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16"/>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Licensing and applications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10"/>
        </w:trPr>
        <w:tc>
          <w:tcPr>
            <w:tcW w:w="536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71,899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90,001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5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right="100" w:firstLine="324"/>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Robotaxi services</w:t>
      </w:r>
      <w:r>
        <w:rPr>
          <w:rFonts w:ascii="Times New Roman" w:cs="Times New Roman" w:eastAsia="Times New Roman" w:hAnsi="Times New Roman"/>
          <w:sz w:val="17"/>
          <w:szCs w:val="17"/>
          <w:color w:val="auto"/>
        </w:rPr>
        <w:t>. We generate robotaxi revenues primarily by (a) providing a comprehensive suite of AV engineering solutions,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including AV software deployment and maintenance, vehicle integration and engineering and road testing, to leading OEMs and TNCs, helping them seamlessly integrate our autonomous driving technology with their vehicle platforms, and to a much lesser extent; (b) charging passengers fare for their rides with our robotaxis; and (c) entering into technology licensing arrangements with strategic partners for our proprietary virtual driver systems, from which we recognize licensing revenues. We currently offer fare-charging robotaxi services across all four Tier-1 cities in China, namely Beijing, Shanghai, Guangzhou and Shenzhen, and we intend to introduce such services to broader geographies in China in the future through self-owned fleets and/or fleets owned and operated by third-party fleet companies. We have advanced our presence in Hangzhou and Changsha, two emerging new tier-one cities in China in March 2026.</w:t>
      </w:r>
    </w:p>
    <w:p>
      <w:pPr>
        <w:spacing w:after="0" w:line="176"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As the commercial deployment of our robotaxi services accelerates, we expect our robotaxi revenues to continue to grow both in absolute amount and by percentage of our total revenues in the future. In particular, revenues generated from passenger fare, as well as fees generated from operating robotaxis for TNCs and fleet companies, where applicable, are expected to increase alongside the growth of our own and/or third-party owned robotaxi fleets as we approach large-scale commercialization in the long run. Additionally, we will continue to adapt our revenue model based on market conditions and explore additional monetization opportunities for our robotaxi services.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Robotruck services</w:t>
      </w:r>
      <w:r>
        <w:rPr>
          <w:rFonts w:ascii="Times New Roman" w:cs="Times New Roman" w:eastAsia="Times New Roman" w:hAnsi="Times New Roman"/>
          <w:sz w:val="18"/>
          <w:szCs w:val="18"/>
          <w:color w:val="auto"/>
        </w:rPr>
        <w:t>. We generate robotruck revenues mainly by using our robotruck fleets to provide paid transportation services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logistics platforms. We charge them service fees by mileage depending on specific transport routes and/or by tonnage. As we continue to scale our robotruck fleets, we expect such revenues to grow in the near future.</w:t>
      </w:r>
    </w:p>
    <w:p>
      <w:pPr>
        <w:spacing w:after="0" w:line="173"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 xml:space="preserve">Currently, we also generate a limited portion of our robotruck revenues from offering our full-stack </w:t>
      </w:r>
      <w:r>
        <w:rPr>
          <w:rFonts w:ascii="Times New Roman" w:cs="Times New Roman" w:eastAsia="Times New Roman" w:hAnsi="Times New Roman"/>
          <w:sz w:val="18"/>
          <w:szCs w:val="18"/>
          <w:i w:val="1"/>
          <w:iCs w:val="1"/>
          <w:color w:val="auto"/>
        </w:rPr>
        <w:t>Virtual Driver</w:t>
      </w:r>
      <w:r>
        <w:rPr>
          <w:rFonts w:ascii="Times New Roman" w:cs="Times New Roman" w:eastAsia="Times New Roman" w:hAnsi="Times New Roman"/>
          <w:sz w:val="18"/>
          <w:szCs w:val="18"/>
          <w:color w:val="auto"/>
        </w:rPr>
        <w:t xml:space="preserve"> to truck OEMs, which integrate our technology into their vehicle platforms to enable autonomous driving functionality. We expect such revenues to continue to increase in the near future. As the customer base for our </w:t>
      </w:r>
      <w:r>
        <w:rPr>
          <w:rFonts w:ascii="Times New Roman" w:cs="Times New Roman" w:eastAsia="Times New Roman" w:hAnsi="Times New Roman"/>
          <w:sz w:val="18"/>
          <w:szCs w:val="18"/>
          <w:i w:val="1"/>
          <w:iCs w:val="1"/>
          <w:color w:val="auto"/>
        </w:rPr>
        <w:t>Virtual Driver</w:t>
      </w:r>
      <w:r>
        <w:rPr>
          <w:rFonts w:ascii="Times New Roman" w:cs="Times New Roman" w:eastAsia="Times New Roman" w:hAnsi="Times New Roman"/>
          <w:sz w:val="18"/>
          <w:szCs w:val="18"/>
          <w:color w:val="auto"/>
        </w:rPr>
        <w:t xml:space="preserve"> continues to grow, we may develop new robotruck revenue streams including charging these customers recurring licensing fees for using our </w:t>
      </w:r>
      <w:r>
        <w:rPr>
          <w:rFonts w:ascii="Times New Roman" w:cs="Times New Roman" w:eastAsia="Times New Roman" w:hAnsi="Times New Roman"/>
          <w:sz w:val="18"/>
          <w:szCs w:val="18"/>
          <w:i w:val="1"/>
          <w:iCs w:val="1"/>
          <w:color w:val="auto"/>
        </w:rPr>
        <w:t>Virtual Driver</w:t>
      </w:r>
      <w:r>
        <w:rPr>
          <w:rFonts w:ascii="Times New Roman" w:cs="Times New Roman" w:eastAsia="Times New Roman" w:hAnsi="Times New Roman"/>
          <w:sz w:val="18"/>
          <w:szCs w:val="18"/>
          <w:color w:val="auto"/>
        </w:rPr>
        <w:t xml:space="preserve"> technology. To a much lesser extent, we also generate robotruck revenues through providing AV engineering solutions, including customized software development, vehicle integration, engineering, and road testing, to customers. This assists in enhancing autonomous driving capabilities and overall performance of their intelligent trucks.</w:t>
      </w:r>
    </w:p>
    <w:p>
      <w:pPr>
        <w:spacing w:after="0" w:line="181" w:lineRule="exact"/>
        <w:rPr>
          <w:sz w:val="20"/>
          <w:szCs w:val="20"/>
          <w:color w:val="auto"/>
        </w:rPr>
      </w:pPr>
    </w:p>
    <w:p>
      <w:pPr>
        <w:ind w:firstLine="324"/>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Licensing and applications</w:t>
      </w:r>
      <w:r>
        <w:rPr>
          <w:rFonts w:ascii="Times New Roman" w:cs="Times New Roman" w:eastAsia="Times New Roman" w:hAnsi="Times New Roman"/>
          <w:sz w:val="17"/>
          <w:szCs w:val="17"/>
          <w:color w:val="auto"/>
        </w:rPr>
        <w:t>. We generate licensing and applications revenues primarily through (a) offering POV intelligent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solutions, including intelligent driving software solutions, proprietary vehicle domain controller products and data analytics tools to OEMs and other industry participants to empower vehicles to achieve higher levels of driving automation; (b) providing certain value-added technological services, such as vehicle integration services, and software development and licensing services, primarily to sensor and hardware component suppliers, helping them better adapt their products and solutions to autonomous driving use cases; and (c) offering V2X (vehicle-to-everything) products and services to enhance road safety, and improve transportation efficiency and experience.</w:t>
      </w:r>
    </w:p>
    <w:p>
      <w:pPr>
        <w:spacing w:after="0" w:line="17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While we have historically generated a significant portion of our revenues from licensing and applications, we expect our licensing and applications revenues, as a percentage of our total revenues, to decrease in the long term as we continue to grow our robotaxi and robotruck revenues.</w:t>
      </w:r>
    </w:p>
    <w:p>
      <w:pPr>
        <w:spacing w:after="0" w:line="176"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 xml:space="preserve">By the nature of services based on the revenue recognition policies applicable to such services, our revenue streams can also be categorized into (i) engineering solution services, representing primarily the services and software solutions we offer to OEMs and other industry participants, (ii) virtual driver operation and other related services, consisting of fare we collect from passengers for their rides with our robotaxis, and transportation service fees we charge logistics platforms and software licensing, and (iii) sales of products, including AV hardware kit used in our </w:t>
      </w:r>
      <w:r>
        <w:rPr>
          <w:rFonts w:ascii="Times New Roman" w:cs="Times New Roman" w:eastAsia="Times New Roman" w:hAnsi="Times New Roman"/>
          <w:sz w:val="18"/>
          <w:szCs w:val="18"/>
          <w:i w:val="1"/>
          <w:iCs w:val="1"/>
          <w:color w:val="auto"/>
        </w:rPr>
        <w:t>Virtual Driver</w:t>
      </w:r>
      <w:r>
        <w:rPr>
          <w:rFonts w:ascii="Times New Roman" w:cs="Times New Roman" w:eastAsia="Times New Roman" w:hAnsi="Times New Roman"/>
          <w:sz w:val="18"/>
          <w:szCs w:val="18"/>
          <w:color w:val="auto"/>
        </w:rPr>
        <w:t xml:space="preserve"> and our vehicle domain controller products. In 2023, revenues generated from engineering solution services, virtual driver operation and other related services and sales of products were US$40.6 million, US$23.9 million and US$7.4 million, respectively. In 2024, revenues generated from engineering solution services, virtual driver operation and other related services and sales of products were US$</w:t>
      </w:r>
      <w:r>
        <w:rPr>
          <w:rFonts w:ascii="Times New Roman" w:cs="Times New Roman" w:eastAsia="Times New Roman" w:hAnsi="Times New Roman"/>
          <w:sz w:val="18"/>
          <w:szCs w:val="18"/>
          <w:color w:val="231F20"/>
        </w:rPr>
        <w:t>28.0</w:t>
      </w:r>
      <w:r>
        <w:rPr>
          <w:rFonts w:ascii="Times New Roman" w:cs="Times New Roman" w:eastAsia="Times New Roman" w:hAnsi="Times New Roman"/>
          <w:sz w:val="18"/>
          <w:szCs w:val="18"/>
          <w:color w:val="auto"/>
        </w:rPr>
        <w:t xml:space="preserve"> million, US$</w:t>
      </w:r>
      <w:r>
        <w:rPr>
          <w:rFonts w:ascii="Times New Roman" w:cs="Times New Roman" w:eastAsia="Times New Roman" w:hAnsi="Times New Roman"/>
          <w:sz w:val="18"/>
          <w:szCs w:val="18"/>
          <w:color w:val="231F20"/>
        </w:rPr>
        <w:t>39.4</w:t>
      </w:r>
      <w:r>
        <w:rPr>
          <w:rFonts w:ascii="Times New Roman" w:cs="Times New Roman" w:eastAsia="Times New Roman" w:hAnsi="Times New Roman"/>
          <w:sz w:val="18"/>
          <w:szCs w:val="18"/>
          <w:color w:val="auto"/>
        </w:rPr>
        <w:t xml:space="preserve"> million and US$</w:t>
      </w:r>
      <w:r>
        <w:rPr>
          <w:rFonts w:ascii="Times New Roman" w:cs="Times New Roman" w:eastAsia="Times New Roman" w:hAnsi="Times New Roman"/>
          <w:sz w:val="18"/>
          <w:szCs w:val="18"/>
          <w:color w:val="231F20"/>
        </w:rPr>
        <w:t>7.6</w:t>
      </w:r>
      <w:r>
        <w:rPr>
          <w:rFonts w:ascii="Times New Roman" w:cs="Times New Roman" w:eastAsia="Times New Roman" w:hAnsi="Times New Roman"/>
          <w:sz w:val="18"/>
          <w:szCs w:val="18"/>
          <w:color w:val="auto"/>
        </w:rPr>
        <w:t xml:space="preserve"> million, respectively. In 2025, revenues generated from engineering solution services, virtual driver operation and other related services and sales of products were US$</w:t>
      </w:r>
      <w:r>
        <w:rPr>
          <w:rFonts w:ascii="Times New Roman" w:cs="Times New Roman" w:eastAsia="Times New Roman" w:hAnsi="Times New Roman"/>
          <w:sz w:val="18"/>
          <w:szCs w:val="18"/>
          <w:color w:val="231F20"/>
        </w:rPr>
        <w:t>16.5</w:t>
      </w:r>
      <w:r>
        <w:rPr>
          <w:rFonts w:ascii="Times New Roman" w:cs="Times New Roman" w:eastAsia="Times New Roman" w:hAnsi="Times New Roman"/>
          <w:sz w:val="18"/>
          <w:szCs w:val="18"/>
          <w:color w:val="auto"/>
        </w:rPr>
        <w:t xml:space="preserve"> million, US$</w:t>
      </w:r>
      <w:r>
        <w:rPr>
          <w:rFonts w:ascii="Times New Roman" w:cs="Times New Roman" w:eastAsia="Times New Roman" w:hAnsi="Times New Roman"/>
          <w:sz w:val="18"/>
          <w:szCs w:val="18"/>
          <w:color w:val="231F20"/>
        </w:rPr>
        <w:t>40.2</w:t>
      </w:r>
      <w:r>
        <w:rPr>
          <w:rFonts w:ascii="Times New Roman" w:cs="Times New Roman" w:eastAsia="Times New Roman" w:hAnsi="Times New Roman"/>
          <w:sz w:val="18"/>
          <w:szCs w:val="18"/>
          <w:color w:val="auto"/>
        </w:rPr>
        <w:t xml:space="preserve"> million and US$</w:t>
      </w:r>
      <w:r>
        <w:rPr>
          <w:rFonts w:ascii="Times New Roman" w:cs="Times New Roman" w:eastAsia="Times New Roman" w:hAnsi="Times New Roman"/>
          <w:sz w:val="18"/>
          <w:szCs w:val="18"/>
          <w:color w:val="231F20"/>
        </w:rPr>
        <w:t>33.3</w:t>
      </w:r>
      <w:r>
        <w:rPr>
          <w:rFonts w:ascii="Times New Roman" w:cs="Times New Roman" w:eastAsia="Times New Roman" w:hAnsi="Times New Roman"/>
          <w:sz w:val="18"/>
          <w:szCs w:val="18"/>
          <w:color w:val="auto"/>
        </w:rPr>
        <w:t xml:space="preserve"> million, respectively. For details, see Note 2(l) to our audited consolidated financial statements included elsewhere in this annual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Our cost of revenues consists primarily of (i) fleet operation expenses, primarily representing tolls and fuel costs incurred by our self-owned robotaxi and robotruck fleets, third-party transportation expenses and other expenses relating to fleet operations and maintenance, (ii) direct operating and materials costs, consisting primarily of expenses relating to materials and supplies and R&amp;D support and other third-party professional services in relation to the provision of our services and solutions to customers, (iii) employee compensation representing salaries, welfare and bonuses for our engineers, safety drivers and other personnel in relation to the provision of our services and solutions to customers, and (iv) others, mainly including traveling expenses, depreciation and amortization, and other office and utility expenses.</w:t>
      </w:r>
    </w:p>
    <w:p>
      <w:pPr>
        <w:spacing w:after="0" w:line="18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Similar to our revenues in 2023, 2024 and 2025, our cost mix experienced changes in the historical periods as we remained in relatively early stages of commercialization and diversifying our revenue streams. As a result, we expect the amounts and composition of our cost of revenues to continue to evolve in the near future.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breakdown of our cost of revenues, both in absolute amounts and as percentages of total cost of revenues, for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230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tcBorders>
              <w:top w:val="single" w:sz="8" w:color="auto"/>
              <w:bottom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US$    ​​​​</w:t>
            </w:r>
          </w:p>
        </w:tc>
        <w:tc>
          <w:tcPr>
            <w:tcW w:w="50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  US$</w:t>
            </w:r>
          </w:p>
        </w:tc>
        <w:tc>
          <w:tcPr>
            <w:tcW w:w="2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  US$</w:t>
            </w:r>
          </w:p>
        </w:tc>
        <w:tc>
          <w:tcPr>
            <w:tcW w:w="2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00" w:type="dxa"/>
            <w:vAlign w:val="bottom"/>
            <w:gridSpan w:val="10"/>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Fleet operation expenses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 operating and material costs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compensation</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38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55,015</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63,622</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75,840</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breakdown of our operating expenses, both in absolute amounts and as percentages of our total operating expenses, for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1820" w:type="dxa"/>
            <w:vAlign w:val="bottom"/>
            <w:gridSpan w:val="2"/>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   US$</w:t>
            </w:r>
          </w:p>
        </w:tc>
        <w:tc>
          <w:tcPr>
            <w:tcW w:w="2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   US$</w:t>
            </w: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40" w:type="dxa"/>
            <w:vAlign w:val="bottom"/>
            <w:gridSpan w:val="10"/>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jc w:val="center"/>
              <w:ind w:right="11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122,707</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240,179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217,419</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37,417</w:t>
            </w:r>
          </w:p>
        </w:tc>
        <w:tc>
          <w:tcPr>
            <w:tcW w:w="2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57,599</w:t>
            </w:r>
          </w:p>
        </w:tc>
        <w:tc>
          <w:tcPr>
            <w:tcW w:w="1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160,124</w:t>
            </w:r>
          </w:p>
        </w:tc>
        <w:tc>
          <w:tcPr>
            <w:tcW w:w="2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296,926</w:t>
            </w:r>
          </w:p>
        </w:tc>
        <w:tc>
          <w:tcPr>
            <w:tcW w:w="14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275,018</w:t>
            </w:r>
          </w:p>
        </w:tc>
        <w:tc>
          <w:tcPr>
            <w:tcW w:w="1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(i) employee compensation, representing salaries, welfare and bonuses as well as share-based compensation for our research and development staff, which include engineers and other personnel responsible for the design, development and testing of our autonomous driving technology, (ii) development and testing expenses, consisting primarily of expenses relating to materials and supplies, third-party research and development and other professional services, and vehicle operations, testing and maintenance for research and development purpose, (iii) depreciation and amortization in relation to our vehicles for research and development purposes, server and network equipment, (iv) others, mainly including rental and office administrative expenses in relation to our research and development activities.</w:t>
      </w:r>
    </w:p>
    <w:p>
      <w:pPr>
        <w:spacing w:after="0" w:line="18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breakdown of our research and development expenses, both in absolute amounts and as percentages of our total research and development expenses, for the periods indicated.</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300" w:type="dxa"/>
            <w:vAlign w:val="bottom"/>
          </w:tcPr>
          <w:p>
            <w:pPr>
              <w:spacing w:after="0"/>
              <w:rPr>
                <w:sz w:val="15"/>
                <w:szCs w:val="15"/>
                <w:color w:val="auto"/>
              </w:rPr>
            </w:pPr>
          </w:p>
        </w:tc>
        <w:tc>
          <w:tcPr>
            <w:tcW w:w="900" w:type="dxa"/>
            <w:vAlign w:val="bottom"/>
            <w:gridSpan w:val="2"/>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2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800" w:type="dxa"/>
            <w:vAlign w:val="bottom"/>
            <w:gridSpan w:val="2"/>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   US$</w:t>
            </w:r>
          </w:p>
        </w:tc>
        <w:tc>
          <w:tcPr>
            <w:tcW w:w="40" w:type="dxa"/>
            <w:vAlign w:val="bottom"/>
          </w:tcPr>
          <w:p>
            <w:pPr>
              <w:spacing w:after="0"/>
              <w:rPr>
                <w:sz w:val="12"/>
                <w:szCs w:val="12"/>
                <w:color w:val="auto"/>
              </w:rPr>
            </w:pPr>
          </w:p>
        </w:tc>
        <w:tc>
          <w:tcPr>
            <w:tcW w:w="1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   US$</w:t>
            </w: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60" w:type="dxa"/>
            <w:vAlign w:val="bottom"/>
            <w:gridSpan w:val="11"/>
          </w:tcPr>
          <w:p>
            <w:pPr>
              <w:jc w:val="right"/>
              <w:ind w:right="319"/>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tc>
        <w:tc>
          <w:tcPr>
            <w:tcW w:w="2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jc w:val="center"/>
              <w:ind w:right="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
                <w:szCs w:val="1"/>
                <w:color w:val="auto"/>
                <w:w w:val="4294942296"/>
              </w:rPr>
              <w:t>​</w:t>
            </w:r>
          </w:p>
        </w:tc>
        <w:tc>
          <w:tcPr>
            <w:tcW w:w="4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compensation</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75,586</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184,683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130,904</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Development and testing expenses</w:t>
            </w: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28,343</w:t>
            </w:r>
          </w:p>
        </w:tc>
        <w:tc>
          <w:tcPr>
            <w:tcW w:w="2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65,634</w:t>
            </w:r>
          </w:p>
        </w:tc>
        <w:tc>
          <w:tcPr>
            <w:tcW w:w="1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12,517</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Others</w:t>
            </w:r>
          </w:p>
        </w:tc>
        <w:tc>
          <w:tcPr>
            <w:tcW w:w="9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2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15,747</w:t>
            </w:r>
          </w:p>
        </w:tc>
        <w:tc>
          <w:tcPr>
            <w:tcW w:w="1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2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122,707</w:t>
            </w:r>
          </w:p>
        </w:tc>
        <w:tc>
          <w:tcPr>
            <w:tcW w:w="22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100.0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240,179</w:t>
            </w: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217,419</w:t>
            </w:r>
          </w:p>
        </w:tc>
        <w:tc>
          <w:tcPr>
            <w:tcW w:w="1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Our selling, general and administrative expenses consist primarily of (i) employee compensation, representing salaries, welfare and bonuses as well as share-based compensation for our selling, general and administrative employees, (ii) professional service expenses, which consist primarily of outsourcing fees relating to human resources and IT functions and fees paid to auditors and external legal counsels, (iii) rental and office administrative expenses, and (iv) others, mainly including depreciation and amortization.</w:t>
      </w:r>
    </w:p>
    <w:p>
      <w:pPr>
        <w:sectPr>
          <w:pgSz w:w="11900" w:h="16838" w:orient="portrait"/>
          <w:cols w:equalWidth="0" w:num="1">
            <w:col w:w="9960"/>
          </w:cols>
          <w:pgMar w:left="980" w:top="513" w:right="959" w:bottom="1440" w:gutter="0" w:footer="0" w:header="0"/>
        </w:sectPr>
      </w:pP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breakdown of our selling, general and administrative expenses, both in absolute amounts and as percentages of our total selling, general and administrative expenses, for the periods indicated.</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104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w:t>
            </w:r>
          </w:p>
        </w:tc>
        <w:tc>
          <w:tcPr>
            <w:tcW w:w="2100" w:type="dxa"/>
            <w:vAlign w:val="bottom"/>
            <w:gridSpan w:val="10"/>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US$   ​​​​</w:t>
            </w:r>
          </w:p>
        </w:tc>
        <w:tc>
          <w:tcPr>
            <w:tcW w:w="480" w:type="dxa"/>
            <w:vAlign w:val="bottom"/>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90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US$   ​​​</w:t>
            </w:r>
          </w:p>
        </w:tc>
        <w:tc>
          <w:tcPr>
            <w:tcW w:w="44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1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US$   ​​​</w:t>
            </w:r>
          </w:p>
        </w:tc>
        <w:tc>
          <w:tcPr>
            <w:tcW w:w="54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gridSpan w:val="11"/>
          </w:tcPr>
          <w:p>
            <w:pPr>
              <w:jc w:val="right"/>
              <w:ind w:right="15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16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left w:val="single" w:sz="8" w:color="CCEEFF"/>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compensation</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20,786</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45,807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37,340</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Professional service expenses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w:t>
            </w:r>
          </w:p>
        </w:tc>
        <w:tc>
          <w:tcPr>
            <w:tcW w:w="22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w:t>
            </w:r>
          </w:p>
        </w:tc>
        <w:tc>
          <w:tcPr>
            <w:tcW w:w="160" w:type="dxa"/>
            <w:vAlign w:val="bottom"/>
            <w:shd w:val="clear" w:color="auto" w:fill="CCEEFF"/>
          </w:tcPr>
          <w:p>
            <w:pPr>
              <w:spacing w:after="0"/>
              <w:rPr>
                <w:sz w:val="18"/>
                <w:szCs w:val="18"/>
                <w:color w:val="auto"/>
              </w:rPr>
            </w:pPr>
          </w:p>
        </w:tc>
        <w:tc>
          <w:tcPr>
            <w:tcW w:w="54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Rental and office administrative expenses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6,686</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Others</w:t>
            </w:r>
          </w:p>
        </w:tc>
        <w:tc>
          <w:tcPr>
            <w:tcW w:w="2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22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160" w:type="dxa"/>
            <w:vAlign w:val="bottom"/>
            <w:shd w:val="clear" w:color="auto" w:fill="CCEEFF"/>
          </w:tcPr>
          <w:p>
            <w:pPr>
              <w:spacing w:after="0"/>
              <w:rPr>
                <w:sz w:val="18"/>
                <w:szCs w:val="18"/>
                <w:color w:val="auto"/>
              </w:rPr>
            </w:pPr>
          </w:p>
        </w:tc>
        <w:tc>
          <w:tcPr>
            <w:tcW w:w="54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35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selling, general and administrative</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37,417</w:t>
            </w:r>
          </w:p>
        </w:tc>
        <w:tc>
          <w:tcPr>
            <w:tcW w:w="22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100.0</w:t>
            </w:r>
          </w:p>
        </w:tc>
        <w:tc>
          <w:tcPr>
            <w:tcW w:w="60" w:type="dxa"/>
            <w:vAlign w:val="bottom"/>
          </w:tcPr>
          <w:p>
            <w:pPr>
              <w:spacing w:after="0"/>
              <w:rPr>
                <w:sz w:val="15"/>
                <w:szCs w:val="15"/>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56,747</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57,599</w:t>
            </w:r>
          </w:p>
        </w:tc>
        <w:tc>
          <w:tcPr>
            <w:tcW w:w="16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8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investment income consists primarily of interest on time and structured deposits, gains from investments and gain from disposal of certain equity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fair value of warrants liability</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Our changes in fair value of warrants liability arise from changes in the carrying amount of the warrants that we issued to some of our Series D investors, which allowed the investors to acquire our Series D preferred shares after the investors obtain the requisite outbound direct investment approval from relevant regulatory authorities in China. For further information, see Note 12 to our audited consolidated financial statements included elsewhere in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fair value of trading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changes in fair value of trading securities arise from changes in the carrying amount of investments in trading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other income includes primarily government grants, fair value change of equity securities and foreign exchange gains. Our other expenses include primarily foreign exchange losses.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8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are incorporated in the Cayman Islands. Under the current tax laws of the Cayman Islands, we are not subject to tax on our income or capital gains. In addition, payments of dividends and capital in respect of our shares are not subject to taxation, and no withholding will be required in the Cayman Islands on the payment of any dividend or capital to any holder of our shares, nor will gains derived from the disposal of our shares be subject to the Cayman Islands income or corporation tax.</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89" w:lineRule="exact"/>
        <w:rPr>
          <w:sz w:val="20"/>
          <w:szCs w:val="20"/>
          <w:color w:val="auto"/>
        </w:rPr>
      </w:pPr>
    </w:p>
    <w:p>
      <w:pPr>
        <w:ind w:right="200" w:firstLine="324"/>
        <w:spacing w:after="0" w:line="312" w:lineRule="auto"/>
        <w:rPr>
          <w:sz w:val="20"/>
          <w:szCs w:val="20"/>
          <w:color w:val="auto"/>
        </w:rPr>
      </w:pPr>
      <w:r>
        <w:rPr>
          <w:rFonts w:ascii="Times New Roman" w:cs="Times New Roman" w:eastAsia="Times New Roman" w:hAnsi="Times New Roman"/>
          <w:sz w:val="17"/>
          <w:szCs w:val="17"/>
          <w:color w:val="auto"/>
        </w:rPr>
        <w:t>Our subsidiary incorporated in the United States, namely Pony. AI, Inc., is subject to federal income tax in the United States at the rate of 21% (in addition to any state and local taxes, as applicable) for each of the years ended December 31, 2023, 2024 and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0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Under the current Hong Kong Inland Revenue Ordinance, from the year of assessment in 2018 and 2019 onwards, our subsidiaries in Hong Kong are subject to profits tax at the rate of 8.25% on assessable profits up to HK$2 million; and 16.5% on any part of assessable profits over HK$2 million. The payments of dividends by our Hong Kong subsidiaries to their shareholders are not subject to any Hong Kong withholding tax.</w:t>
      </w:r>
    </w:p>
    <w:p>
      <w:pPr>
        <w:sectPr>
          <w:pgSz w:w="11900" w:h="16838" w:orient="portrait"/>
          <w:cols w:equalWidth="0" w:num="1">
            <w:col w:w="9900"/>
          </w:cols>
          <w:pgMar w:left="980" w:top="513" w:right="101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18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Under the PRC Enterprise Income Tax Law effective from January 1, 2008, which was most recently amended December 29, 2018, our PRC subsidiaries are subject to the statutory rate of 25%, except for preferential tax treatments available to qualified enterprises in certain encouraged sectors of the economy.</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For example, enterprises that qualify as “high and new technology enterprises” are entitled to a preferential rate of 15% subject to renewal every three years. Certain of our PRC subsidiaries, namely Beijing (HX) Pony, Beijing (ZX) Pony, Guangzhou (ZX) Pony, Guangzhou (HX) Pony, Jiangsu Rye Data Technology Co., Ltd., Shenzhen (YX) Pony, Beijing (YX) Pony and Shanghai (YX) Pony were recognized as “high and new technology enterprises”, and therefore enjoyed a preferential tax rate of 15% for three years starting from 2018, 2018, 2019, 2020, 2021, 2022, 2022 and 2023, respectively. In 2021, Beijing (HX) Pony and Beijing (ZX) Pony reevaluated their “high and new technology enterprises” status, securing the 15% preferential tax rate for 2021 to 2023. In 2023, Guangzhou (HX) Pony reevaluated its “high and new technology enterprise” status, securing the 15% preferential tax rate for 2023 to 2025. In 2024, Beijing (HX) Pony, Beijing (ZX) Pony, Guangzhou (ZX) Pony and Jiangsu Rye Data Technology Co., Ltd. reevaluated their “high and new technology enterprises” status, securing the 15% preferential tax rate for 2024 to 2026. In 2025, Beijing (YX) Pony and Shenzhen (YX) Pony reevaluated their “high and new technology enterprises” status, securing the 15% preferential tax rate for 2025 to 2027.</w:t>
      </w:r>
    </w:p>
    <w:p>
      <w:pPr>
        <w:spacing w:after="0" w:line="194"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As a Cayman Islands holding company, we may receive dividends from our PRC subsidiaries through Hongkong Pony AI Limited. The PRC EIT Law and its implementing rules provide that dividends paid by a PRC entity to a non-resident enterprise for income tax purposes is subject to PRC withholding tax at a rate of 10%, and may be subject to reduction by an applicable tax treaty with China. Pursuant to the Arrangement between Mainland China and the Hong Kong Special Administrative Region for the Avoidance of Double Taxation and Tax Evasion on Income, the withholding tax rate in respect to the payment of dividends by a PRC enterprise to a Hong Kong enterprise may be reduced to 5% from a standard rate of 10% if the Hong Kong enterprise (i) directly holds at least 25% of the PRC enterprise, (ii) is a tax resident in Hong Kong and (iii) could be recognized as a Beneficial Owner of the dividend from PRC tax perspective. We did not record any dividend withholding tax, as our WFOE, which is a foreign investment enterprise, did not have any retained earnings in any of the periods presented.</w:t>
      </w:r>
    </w:p>
    <w:p>
      <w:pPr>
        <w:spacing w:after="0" w:line="18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If our holding company in the Cayman Islands or any of our subsidiaries outside of China were deemed to be a “resident enterprise” under the PRC EIT Law, it would be subject to enterprise income tax on its worldwide income at a rate of 25%. See “Item 3. Key Information—3.D. Risk Factors—Risks related to Doing Business in China—We may be classified as a ‘PRC resident enterprise’ for PRC enterprise income tax purposes, which could result in unfavorable tax consequences to us and non-PRC holders of the ADSs or ordinary shares and have a material adverse effect on our results of operations and the value of your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An accounting estimate is considered critical if it requires to be made based on assumptions about matters that are highly uncertain at the time such estimate is made, and if different accounting estimates that reasonably could have been used, or changes in the accounting estimate that are reasonably likely to occur periodically, could have materially impact to the consolidated financial statements.</w:t>
      </w:r>
    </w:p>
    <w:p>
      <w:pPr>
        <w:spacing w:after="0" w:line="18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U.S. GAAP, which requires us to make estimates and assumptions. We continually evaluate these estimates and assumptions based on the most recently available information, our own historical experiences and various other assumptions that we believe to be reasonable under the circumstances. Since the use of estimates is an integral component of the financial reporting process, actual results could differ from our expectations as a result of changes in our estimates. Some of our accounting policies require a higher degree of judgment than others in their application and require us to make significant accounting estimates.</w:t>
      </w:r>
    </w:p>
    <w:p>
      <w:pPr>
        <w:spacing w:after="0" w:line="187" w:lineRule="exact"/>
        <w:rPr>
          <w:sz w:val="20"/>
          <w:szCs w:val="20"/>
          <w:color w:val="auto"/>
        </w:rPr>
      </w:pPr>
    </w:p>
    <w:p>
      <w:pPr>
        <w:jc w:val="both"/>
        <w:ind w:right="720" w:firstLine="324"/>
        <w:spacing w:after="0" w:line="266" w:lineRule="auto"/>
        <w:rPr>
          <w:sz w:val="20"/>
          <w:szCs w:val="20"/>
          <w:color w:val="auto"/>
        </w:rPr>
      </w:pPr>
      <w:r>
        <w:rPr>
          <w:rFonts w:ascii="Times New Roman" w:cs="Times New Roman" w:eastAsia="Times New Roman" w:hAnsi="Times New Roman"/>
          <w:sz w:val="18"/>
          <w:szCs w:val="18"/>
          <w:color w:val="auto"/>
        </w:rPr>
        <w:t>The following descriptions of the critical accounting estimate should be read in conjunction with our consolidated financial statements and other disclosures included in this annual report. For further information, see Note 2 to our consolidated financial statements in this this annual report.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 We follow the liability method of accounting for income taxes. Under this method, deferred tax assets and liabilities are determined based on the temporary differences between the financial statements carrying amounts and tax bases of existing assets and liabilities by applying enacted statutory tax rates that will be in effect in the period in which the temporary differences are expected to reverse. We record a valuation allowance to reduce the amount of deferred tax assets if based on the weight of available evidence, it is more likely than not that some portion, or all, of the deferred tax assets will not be realized. The effect on deferred taxes of a change in tax rate is recognized in our consolidated statements of operations and comprehensive loss in the period of change. Deferred tax assets and liabilities are classified as non-current in the consolidated balance sheets.</w:t>
      </w:r>
    </w:p>
    <w:p>
      <w:pPr>
        <w:spacing w:after="0" w:line="18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recognize in our consolidated financial statements the benefit of a tax position if the tax position is “more likely than not” to prevail based on the facts and technical merits of the position. Tax positions that meet the “more likely than not” recognition threshold are measured at the largest amount of tax benefit that has a greater than 50% likelihood of being realized upon settlement. We estimate our liability for unrecognized tax benefits which are periodically assessed and may be affected by changing interpretations of laws, rulings by tax authorities, changes and/or developments with respect to tax audits, and expiration of the statute of limitations. The ultimate outcome for a particular tax position may not be determined with certainty prior to the conclusion of a tax audit and, in some cases, appeal or litigation process. The actual benefits ultimately realized may differ from our estimates. As each audit is concluded, adjustments, if any, are recorded in our consolidated financial statements in the period in which the audit is concluded. Additionally, in future periods, changes in facts, circumstances and new information may require us to adjust the recognition and measurement estimates with regard to individual tax positions. Changes in recognition and measurement estimates are recognized in the period in which the changes occur. As of December 31, 2023, 2024 and 2025, we did not have any significant unrecognized uncertain tax positions.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the consolidated financial statements and notes included elsewhere in this annual report. Due to the early stage of our commercialization efforts and our significant investments in R&amp;D in the past, our historical results may not be indicative of our future results of operations. The following table sets forth our consolidated results of operations data both in absolute amounts and as percentages of our total revenue for the periods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40" w:type="dxa"/>
            <w:vAlign w:val="bottom"/>
            <w:gridSpan w:val="2"/>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42"/>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Borders>
              <w:top w:val="single" w:sz="8" w:color="auto"/>
              <w:bottom w:val="single" w:sz="8" w:color="auto"/>
            </w:tcBorders>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2"/>
                <w:szCs w:val="12"/>
                <w:color w:val="auto"/>
              </w:rPr>
            </w:pPr>
          </w:p>
        </w:tc>
      </w:tr>
      <w:tr>
        <w:trPr>
          <w:trHeight w:val="142"/>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   US$</w:t>
            </w:r>
          </w:p>
        </w:tc>
        <w:tc>
          <w:tcPr>
            <w:tcW w:w="1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   US$</w:t>
            </w: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128"/>
        </w:trPr>
        <w:tc>
          <w:tcPr>
            <w:tcW w:w="10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140" w:type="dxa"/>
            <w:vAlign w:val="bottom"/>
            <w:gridSpan w:val="8"/>
          </w:tcPr>
          <w:p>
            <w:pPr>
              <w:jc w:val="right"/>
              <w:ind w:right="45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216"/>
        </w:trPr>
        <w:tc>
          <w:tcPr>
            <w:tcW w:w="100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71,899</w:t>
            </w: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75,025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90,001</w:t>
            </w: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100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(55,015)</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(63,622)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(75,840)</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10"/>
        </w:trPr>
        <w:tc>
          <w:tcPr>
            <w:tcW w:w="1000" w:type="dxa"/>
            <w:vAlign w:val="bottom"/>
          </w:tcPr>
          <w:p>
            <w:pPr>
              <w:spacing w:after="0"/>
              <w:rPr>
                <w:sz w:val="18"/>
                <w:szCs w:val="18"/>
                <w:color w:val="auto"/>
              </w:rPr>
            </w:pPr>
          </w:p>
        </w:tc>
        <w:tc>
          <w:tcPr>
            <w:tcW w:w="2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16,884</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11,403</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14,161</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r>
      <w:tr>
        <w:trPr>
          <w:trHeight w:val="216"/>
        </w:trPr>
        <w:tc>
          <w:tcPr>
            <w:tcW w:w="100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29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Research and development expenses</w:t>
            </w:r>
            <w:r>
              <w:rPr>
                <w:rFonts w:ascii="Times New Roman" w:cs="Times New Roman" w:eastAsia="Times New Roman" w:hAnsi="Times New Roman"/>
                <w:sz w:val="25"/>
                <w:szCs w:val="25"/>
                <w:color w:val="auto"/>
                <w:vertAlign w:val="superscript"/>
              </w:rPr>
              <w:t>(1)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(122,707)</w:t>
            </w: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(170.7)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(240,179)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8"/>
              </w:rPr>
              <w:t>(320.1)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(217,419)</w:t>
            </w: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8"/>
              </w:rPr>
              <w:t>(241.6)</w:t>
            </w:r>
          </w:p>
        </w:tc>
      </w:tr>
      <w:tr>
        <w:trPr>
          <w:trHeight w:val="190"/>
        </w:trPr>
        <w:tc>
          <w:tcPr>
            <w:tcW w:w="1000" w:type="dxa"/>
            <w:vAlign w:val="bottom"/>
          </w:tcPr>
          <w:p>
            <w:pPr>
              <w:spacing w:after="0"/>
              <w:rPr>
                <w:sz w:val="16"/>
                <w:szCs w:val="16"/>
                <w:color w:val="auto"/>
              </w:rPr>
            </w:pPr>
          </w:p>
        </w:tc>
        <w:tc>
          <w:tcPr>
            <w:tcW w:w="2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42"/>
        </w:trPr>
        <w:tc>
          <w:tcPr>
            <w:tcW w:w="1000" w:type="dxa"/>
            <w:vAlign w:val="bottom"/>
          </w:tcPr>
          <w:p>
            <w:pPr>
              <w:spacing w:after="0"/>
              <w:rPr>
                <w:sz w:val="21"/>
                <w:szCs w:val="21"/>
                <w:color w:val="auto"/>
              </w:rPr>
            </w:pPr>
          </w:p>
        </w:tc>
        <w:tc>
          <w:tcPr>
            <w:tcW w:w="2900" w:type="dxa"/>
            <w:vAlign w:val="bottom"/>
            <w:gridSpan w:val="2"/>
          </w:tcPr>
          <w:p>
            <w:pPr>
              <w:ind w:left="140"/>
              <w:spacing w:after="0" w:line="242" w:lineRule="exact"/>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6"/>
                <w:szCs w:val="26"/>
                <w:color w:val="auto"/>
                <w:vertAlign w:val="superscript"/>
              </w:rPr>
              <w:t>(1)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(37,417)</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(56,747)</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(75.6)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(57,599)</w:t>
            </w: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(64.0)</w:t>
            </w:r>
          </w:p>
        </w:tc>
      </w:tr>
      <w:tr>
        <w:trPr>
          <w:trHeight w:val="210"/>
        </w:trPr>
        <w:tc>
          <w:tcPr>
            <w:tcW w:w="1000" w:type="dxa"/>
            <w:vAlign w:val="bottom"/>
          </w:tcPr>
          <w:p>
            <w:pPr>
              <w:spacing w:after="0"/>
              <w:rPr>
                <w:sz w:val="18"/>
                <w:szCs w:val="18"/>
                <w:color w:val="auto"/>
              </w:rPr>
            </w:pPr>
          </w:p>
        </w:tc>
        <w:tc>
          <w:tcPr>
            <w:tcW w:w="2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(160,124)</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(222.</w:t>
            </w:r>
            <w:r>
              <w:rPr>
                <w:rFonts w:ascii="Times New Roman" w:cs="Times New Roman" w:eastAsia="Times New Roman" w:hAnsi="Times New Roman"/>
                <w:sz w:val="18"/>
                <w:szCs w:val="18"/>
                <w:b w:val="1"/>
                <w:bCs w:val="1"/>
                <w:u w:val="single" w:color="auto"/>
                <w:color w:val="auto"/>
                <w:w w:val="98"/>
              </w:rPr>
              <w:t>7)</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(296,926)</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(395.7)</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(275,018)</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(305.6)</w:t>
            </w:r>
          </w:p>
        </w:tc>
      </w:tr>
      <w:tr>
        <w:trPr>
          <w:trHeight w:val="209"/>
        </w:trPr>
        <w:tc>
          <w:tcPr>
            <w:tcW w:w="100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(143,240)</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(199.2)</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(285,523)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(380.5)</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(260,857)</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(289.8)</w:t>
            </w:r>
          </w:p>
        </w:tc>
      </w:tr>
      <w:tr>
        <w:trPr>
          <w:trHeight w:val="216"/>
        </w:trPr>
        <w:tc>
          <w:tcPr>
            <w:tcW w:w="100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19,389</w:t>
            </w: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20,378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27.2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42,985</w:t>
            </w: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47.8</w:t>
            </w:r>
          </w:p>
        </w:tc>
      </w:tr>
      <w:tr>
        <w:trPr>
          <w:trHeight w:val="198"/>
        </w:trPr>
        <w:tc>
          <w:tcPr>
            <w:tcW w:w="1000" w:type="dxa"/>
            <w:vAlign w:val="bottom"/>
          </w:tcPr>
          <w:p>
            <w:pPr>
              <w:spacing w:after="0"/>
              <w:rPr>
                <w:sz w:val="17"/>
                <w:szCs w:val="17"/>
                <w:color w:val="auto"/>
              </w:rPr>
            </w:pPr>
          </w:p>
        </w:tc>
        <w:tc>
          <w:tcPr>
            <w:tcW w:w="29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Changes in fair value of warrants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4"/>
        </w:trPr>
        <w:tc>
          <w:tcPr>
            <w:tcW w:w="1000" w:type="dxa"/>
            <w:vAlign w:val="bottom"/>
          </w:tcPr>
          <w:p>
            <w:pPr>
              <w:spacing w:after="0"/>
              <w:rPr>
                <w:sz w:val="20"/>
                <w:szCs w:val="20"/>
                <w:color w:val="auto"/>
              </w:rPr>
            </w:pPr>
          </w:p>
        </w:tc>
        <w:tc>
          <w:tcPr>
            <w:tcW w:w="2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liability</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5,617</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7.5</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198"/>
        </w:trPr>
        <w:tc>
          <w:tcPr>
            <w:tcW w:w="1000" w:type="dxa"/>
            <w:vAlign w:val="bottom"/>
          </w:tcPr>
          <w:p>
            <w:pPr>
              <w:spacing w:after="0"/>
              <w:rPr>
                <w:sz w:val="17"/>
                <w:szCs w:val="17"/>
                <w:color w:val="auto"/>
              </w:rPr>
            </w:pPr>
          </w:p>
        </w:tc>
        <w:tc>
          <w:tcPr>
            <w:tcW w:w="2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Changes in fair value of trading</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34"/>
        </w:trPr>
        <w:tc>
          <w:tcPr>
            <w:tcW w:w="1000" w:type="dxa"/>
            <w:vAlign w:val="bottom"/>
          </w:tcPr>
          <w:p>
            <w:pPr>
              <w:spacing w:after="0"/>
              <w:rPr>
                <w:sz w:val="20"/>
                <w:szCs w:val="20"/>
                <w:color w:val="auto"/>
              </w:rPr>
            </w:pPr>
          </w:p>
        </w:tc>
        <w:tc>
          <w:tcPr>
            <w:tcW w:w="2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22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(21,285)</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(28.3)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128,031</w:t>
            </w:r>
          </w:p>
        </w:tc>
        <w:tc>
          <w:tcPr>
            <w:tcW w:w="18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142.3</w:t>
            </w:r>
          </w:p>
        </w:tc>
      </w:tr>
      <w:tr>
        <w:trPr>
          <w:trHeight w:val="216"/>
        </w:trPr>
        <w:tc>
          <w:tcPr>
            <w:tcW w:w="100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(expenses) – net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5,808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13,083</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14.5</w:t>
            </w:r>
          </w:p>
        </w:tc>
      </w:tr>
      <w:tr>
        <w:trPr>
          <w:trHeight w:val="216"/>
        </w:trPr>
        <w:tc>
          <w:tcPr>
            <w:tcW w:w="100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(125,454)</w:t>
            </w: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(174.</w:t>
            </w:r>
            <w:r>
              <w:rPr>
                <w:rFonts w:ascii="Times New Roman" w:cs="Times New Roman" w:eastAsia="Times New Roman" w:hAnsi="Times New Roman"/>
                <w:sz w:val="18"/>
                <w:szCs w:val="18"/>
                <w:b w:val="1"/>
                <w:bCs w:val="1"/>
                <w:u w:val="single" w:color="auto"/>
                <w:color w:val="auto"/>
                <w:w w:val="98"/>
              </w:rPr>
              <w:t>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(275,005)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(366.4)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(76,758)</w:t>
            </w: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(85.3)</w:t>
            </w:r>
          </w:p>
        </w:tc>
      </w:tr>
      <w:tr>
        <w:trPr>
          <w:trHeight w:val="210"/>
        </w:trPr>
        <w:tc>
          <w:tcPr>
            <w:tcW w:w="100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benefits (expenses)</w:t>
            </w:r>
          </w:p>
        </w:tc>
        <w:tc>
          <w:tcPr>
            <w:tcW w:w="18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w:t>
            </w:r>
          </w:p>
        </w:tc>
        <w:tc>
          <w:tcPr>
            <w:tcW w:w="1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(0.0)</w:t>
            </w:r>
          </w:p>
        </w:tc>
        <w:tc>
          <w:tcPr>
            <w:tcW w:w="1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8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16"/>
        </w:trPr>
        <w:tc>
          <w:tcPr>
            <w:tcW w:w="100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(125,328)</w:t>
            </w: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(174.2)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(275,006)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w w:val="98"/>
              </w:rPr>
              <w:t>(366.4)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(76,758)</w:t>
            </w:r>
          </w:p>
        </w:tc>
        <w:tc>
          <w:tcPr>
            <w:tcW w:w="1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(85.3)</w:t>
            </w:r>
          </w:p>
        </w:tc>
      </w:tr>
      <w:tr>
        <w:trPr>
          <w:trHeight w:val="198"/>
        </w:trPr>
        <w:tc>
          <w:tcPr>
            <w:tcW w:w="1000" w:type="dxa"/>
            <w:vAlign w:val="bottom"/>
          </w:tcPr>
          <w:p>
            <w:pPr>
              <w:spacing w:after="0"/>
              <w:rPr>
                <w:sz w:val="17"/>
                <w:szCs w:val="17"/>
                <w:color w:val="auto"/>
              </w:rPr>
            </w:pPr>
          </w:p>
        </w:tc>
        <w:tc>
          <w:tcPr>
            <w:tcW w:w="29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Less: Net loss attributable to non-</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4"/>
        </w:trPr>
        <w:tc>
          <w:tcPr>
            <w:tcW w:w="1000" w:type="dxa"/>
            <w:vAlign w:val="bottom"/>
          </w:tcPr>
          <w:p>
            <w:pPr>
              <w:spacing w:after="0"/>
              <w:rPr>
                <w:sz w:val="20"/>
                <w:szCs w:val="20"/>
                <w:color w:val="auto"/>
              </w:rPr>
            </w:pPr>
          </w:p>
        </w:tc>
        <w:tc>
          <w:tcPr>
            <w:tcW w:w="2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controlling interests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(885)</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57,211</w:t>
            </w: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63.6</w:t>
            </w:r>
          </w:p>
        </w:tc>
      </w:tr>
      <w:tr>
        <w:trPr>
          <w:trHeight w:val="209"/>
        </w:trPr>
        <w:tc>
          <w:tcPr>
            <w:tcW w:w="1000" w:type="dxa"/>
            <w:vAlign w:val="bottom"/>
          </w:tcPr>
          <w:p>
            <w:pPr>
              <w:spacing w:after="0"/>
              <w:rPr>
                <w:sz w:val="18"/>
                <w:szCs w:val="18"/>
                <w:color w:val="auto"/>
              </w:rPr>
            </w:pPr>
          </w:p>
        </w:tc>
        <w:tc>
          <w:tcPr>
            <w:tcW w:w="2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Pony AI Inc.</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(124,812)</w:t>
            </w:r>
          </w:p>
        </w:tc>
        <w:tc>
          <w:tcPr>
            <w:tcW w:w="2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(173.</w:t>
            </w:r>
            <w:r>
              <w:rPr>
                <w:rFonts w:ascii="Times New Roman" w:cs="Times New Roman" w:eastAsia="Times New Roman" w:hAnsi="Times New Roman"/>
                <w:sz w:val="18"/>
                <w:szCs w:val="18"/>
                <w:b w:val="1"/>
                <w:bCs w:val="1"/>
                <w:u w:val="single" w:color="auto"/>
                <w:color w:val="auto"/>
                <w:w w:val="98"/>
              </w:rPr>
              <w:t>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(274,121)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w w:val="98"/>
              </w:rPr>
              <w:t>(365.2)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(133,969)</w:t>
            </w:r>
          </w:p>
        </w:tc>
        <w:tc>
          <w:tcPr>
            <w:tcW w:w="1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w w:val="98"/>
              </w:rPr>
              <w:t>(148.9)</w:t>
            </w: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89"/>
        </w:trPr>
        <w:tc>
          <w:tcPr>
            <w:tcW w:w="10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w:t>
      </w:r>
    </w:p>
    <w:p>
      <w:pPr>
        <w:spacing w:after="0" w:line="23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(1)</w:t>
        <w:tab/>
        <w:t>Includes share-based compensation expenses:</w:t>
      </w:r>
    </w:p>
    <w:p>
      <w:pPr>
        <w:spacing w:after="0" w:line="156"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2" w:lineRule="exact"/>
        <w:rPr>
          <w:sz w:val="20"/>
          <w:szCs w:val="20"/>
          <w:color w:val="auto"/>
        </w:rPr>
      </w:pPr>
    </w:p>
    <w:tbl>
      <w:tblPr>
        <w:tblLayout w:type="fixed"/>
        <w:tblInd w:w="1000" w:type="dxa"/>
        <w:tblCellMar>
          <w:top w:w="0" w:type="dxa"/>
          <w:left w:w="0" w:type="dxa"/>
          <w:bottom w:w="0" w:type="dxa"/>
          <w:right w:w="0" w:type="dxa"/>
        </w:tblCellMar>
      </w:tblPr>
      <w:tr>
        <w:trPr>
          <w:trHeight w:val="20"/>
        </w:trPr>
        <w:tc>
          <w:tcPr>
            <w:tcW w:w="58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122"/>
        </w:trPr>
        <w:tc>
          <w:tcPr>
            <w:tcW w:w="5860" w:type="dxa"/>
            <w:vAlign w:val="bottom"/>
          </w:tcPr>
          <w:p>
            <w:pPr>
              <w:ind w:left="574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840" w:type="dxa"/>
            <w:vAlign w:val="bottom"/>
            <w:gridSpan w:val="2"/>
          </w:tcPr>
          <w:p>
            <w:pPr>
              <w:jc w:val="right"/>
              <w:ind w:right="148"/>
              <w:spacing w:after="0" w:line="122" w:lineRule="exact"/>
              <w:rPr>
                <w:sz w:val="20"/>
                <w:szCs w:val="20"/>
                <w:color w:val="auto"/>
              </w:rPr>
            </w:pPr>
            <w:r>
              <w:rPr>
                <w:rFonts w:ascii="Times New Roman" w:cs="Times New Roman" w:eastAsia="Times New Roman" w:hAnsi="Times New Roman"/>
                <w:sz w:val="14"/>
                <w:szCs w:val="14"/>
                <w:b w:val="1"/>
                <w:bCs w:val="1"/>
                <w:color w:val="auto"/>
              </w:rPr>
              <w:t>​​​  2024</w:t>
            </w:r>
          </w:p>
        </w:tc>
        <w:tc>
          <w:tcPr>
            <w:tcW w:w="18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99"/>
              <w:spacing w:after="0" w:line="12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5860" w:type="dxa"/>
            <w:vAlign w:val="bottom"/>
          </w:tcPr>
          <w:p>
            <w:pPr>
              <w:spacing w:after="0"/>
              <w:rPr>
                <w:sz w:val="12"/>
                <w:szCs w:val="12"/>
                <w:color w:val="auto"/>
              </w:rPr>
            </w:pPr>
          </w:p>
        </w:tc>
        <w:tc>
          <w:tcPr>
            <w:tcW w:w="48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128"/>
        </w:trPr>
        <w:tc>
          <w:tcPr>
            <w:tcW w:w="5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216"/>
        </w:trPr>
        <w:tc>
          <w:tcPr>
            <w:tcW w:w="5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1,832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102,383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21,115</w:t>
            </w: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1,926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24,620</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9,683</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We use non-GAAP financial measures, such as non-GAAP net loss, in evaluating our operating results and for financial and operational decision-making purposes. We define non-GAAP financial measures by excluding the impact of share-based compensation expenses, changes in fair value of warrants liability and changes in fair value of trading securities. We believe that non-GAAP financial measures help identify the underlying trends in our business, provides useful information about our results of operations, and enhances the overall understanding of our past performance and future prospects.</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non-GAAP financial measures are not presented in accordance with U.S. GAAP and may be different from non-GAAP methods of accounting and reporting used by other companies. The non-GAAP financial measures have limitations as analytical tools and when assessing our operating performance, investors should not consider them in isolation, or as a substitute for the financial information prepared in accordance with U.S. GAAP. We encourage investors and others to review its financial information in its entirety and not rely on a single financial measure.</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We mitigate these limitations by reconciling the non-GAAP financial measures to the most comparable U.S. GAAP performance measures, all of which should be considered when evaluating our performance.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unaudited reconciliation of U.S. GAAP and non-GAAP results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580" w:type="dxa"/>
            <w:vAlign w:val="bottom"/>
            <w:gridSpan w:val="2"/>
          </w:tcPr>
          <w:p>
            <w:pPr>
              <w:ind w:left="4400"/>
              <w:spacing w:after="0"/>
              <w:rPr>
                <w:sz w:val="20"/>
                <w:szCs w:val="20"/>
                <w:color w:val="auto"/>
              </w:rPr>
            </w:pPr>
            <w:r>
              <w:rPr>
                <w:rFonts w:ascii="Times New Roman" w:cs="Times New Roman" w:eastAsia="Times New Roman" w:hAnsi="Times New Roman"/>
                <w:sz w:val="14"/>
                <w:szCs w:val="14"/>
                <w:b w:val="1"/>
                <w:bCs w:val="1"/>
                <w:color w:val="auto"/>
              </w:rPr>
              <w:t>​​​</w:t>
            </w:r>
          </w:p>
        </w:tc>
        <w:tc>
          <w:tcPr>
            <w:tcW w:w="2900" w:type="dxa"/>
            <w:vAlign w:val="bottom"/>
            <w:gridSpan w:val="7"/>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246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(125,328)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(275,006)</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(76,758)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w:t>
            </w:r>
          </w:p>
        </w:tc>
        <w:tc>
          <w:tcPr>
            <w:tcW w:w="7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127,003</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Changes in fair value of warrants liability</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(5,617)</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Changes in fair value of trading securities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21,285</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gridSpan w:val="2"/>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Adjusted net loss (non-GAAP)</w:t>
            </w:r>
            <w:r>
              <w:rPr>
                <w:rFonts w:ascii="Times New Roman" w:cs="Times New Roman" w:eastAsia="Times New Roman" w:hAnsi="Times New Roman"/>
                <w:sz w:val="24"/>
                <w:szCs w:val="24"/>
                <w:b w:val="1"/>
                <w:bCs w:val="1"/>
                <w:color w:val="auto"/>
                <w:vertAlign w:val="superscript"/>
              </w:rPr>
              <w:t>(1)</w:t>
            </w: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(113,813)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(132,335)</w:t>
            </w:r>
          </w:p>
        </w:tc>
        <w:tc>
          <w:tcPr>
            <w:tcW w:w="2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(173,991)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45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w:t>
      </w:r>
      <w:r>
        <w:rPr>
          <w:rFonts w:ascii="Times New Roman" w:cs="Times New Roman" w:eastAsia="Times New Roman" w:hAnsi="Times New Roman"/>
          <w:sz w:val="14"/>
          <w:szCs w:val="14"/>
          <w:color w:val="auto"/>
        </w:rPr>
        <w:t>:</w:t>
      </w:r>
    </w:p>
    <w:p>
      <w:pPr>
        <w:spacing w:after="0" w:line="206" w:lineRule="exact"/>
        <w:rPr>
          <w:sz w:val="20"/>
          <w:szCs w:val="20"/>
          <w:color w:val="auto"/>
        </w:rPr>
      </w:pPr>
    </w:p>
    <w:p>
      <w:pPr>
        <w:ind w:left="340" w:right="360" w:hanging="332"/>
        <w:spacing w:after="0" w:line="261" w:lineRule="auto"/>
        <w:tabs>
          <w:tab w:leader="none" w:pos="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adjustments have no impact on income tax for the years ended December 31, 2023, 2024 and 2025, as no deferred tax has been recognized in respect of the temporary differences arising from these Non-GAAP adjustments.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2024 Compared to Year Ended December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 xml:space="preserve">Our total revenues increased by </w:t>
      </w:r>
      <w:r>
        <w:rPr>
          <w:rFonts w:ascii="Times New Roman" w:cs="Times New Roman" w:eastAsia="Times New Roman" w:hAnsi="Times New Roman"/>
          <w:sz w:val="18"/>
          <w:szCs w:val="18"/>
          <w:color w:val="231F20"/>
        </w:rPr>
        <w:t>20.0</w:t>
      </w:r>
      <w:r>
        <w:rPr>
          <w:rFonts w:ascii="Times New Roman" w:cs="Times New Roman" w:eastAsia="Times New Roman" w:hAnsi="Times New Roman"/>
          <w:sz w:val="18"/>
          <w:szCs w:val="18"/>
          <w:color w:val="auto"/>
        </w:rPr>
        <w:t>% from US$75.0 million in 2024 to US$</w:t>
      </w:r>
      <w:r>
        <w:rPr>
          <w:rFonts w:ascii="Times New Roman" w:cs="Times New Roman" w:eastAsia="Times New Roman" w:hAnsi="Times New Roman"/>
          <w:sz w:val="18"/>
          <w:szCs w:val="18"/>
          <w:color w:val="231F20"/>
        </w:rPr>
        <w:t>90.0</w:t>
      </w:r>
      <w:r>
        <w:rPr>
          <w:rFonts w:ascii="Times New Roman" w:cs="Times New Roman" w:eastAsia="Times New Roman" w:hAnsi="Times New Roman"/>
          <w:sz w:val="18"/>
          <w:szCs w:val="18"/>
          <w:color w:val="auto"/>
        </w:rPr>
        <w:t xml:space="preserve"> million in 2025, primarily driven by the growth of our robotaxi services and revenue generated from licensing and applications businesses.</w:t>
      </w:r>
    </w:p>
    <w:p>
      <w:pPr>
        <w:spacing w:after="0" w:line="158" w:lineRule="exact"/>
        <w:rPr>
          <w:sz w:val="20"/>
          <w:szCs w:val="20"/>
          <w:color w:val="auto"/>
        </w:rPr>
      </w:pPr>
    </w:p>
    <w:p>
      <w:pPr>
        <w:ind w:right="3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Robotaxi services. </w:t>
      </w:r>
      <w:r>
        <w:rPr>
          <w:rFonts w:ascii="Times New Roman" w:cs="Times New Roman" w:eastAsia="Times New Roman" w:hAnsi="Times New Roman"/>
          <w:sz w:val="18"/>
          <w:szCs w:val="18"/>
          <w:color w:val="auto"/>
        </w:rPr>
        <w:t>Our revenues generated from robotaxi services increased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31F20"/>
        </w:rPr>
        <w:t>128.6</w:t>
      </w:r>
      <w:r>
        <w:rPr>
          <w:rFonts w:ascii="Times New Roman" w:cs="Times New Roman" w:eastAsia="Times New Roman" w:hAnsi="Times New Roman"/>
          <w:sz w:val="18"/>
          <w:szCs w:val="18"/>
          <w:color w:val="auto"/>
        </w:rPr>
        <w:t>% from US$7.3 million in 2024 to US$</w:t>
      </w:r>
      <w:r>
        <w:rPr>
          <w:rFonts w:ascii="Times New Roman" w:cs="Times New Roman" w:eastAsia="Times New Roman" w:hAnsi="Times New Roman"/>
          <w:sz w:val="18"/>
          <w:szCs w:val="18"/>
          <w:color w:val="231F20"/>
        </w:rPr>
        <w:t>16.6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2025. Specifically, fare-charging revenues grew by close to 400%, driven by growing user demand in Tier-1 cities, optimization of fleet operations, as well as robust order growth since launch of our Gen-7 fleet.</w:t>
      </w:r>
    </w:p>
    <w:p>
      <w:pPr>
        <w:spacing w:after="0" w:line="171" w:lineRule="exact"/>
        <w:rPr>
          <w:sz w:val="20"/>
          <w:szCs w:val="20"/>
          <w:color w:val="auto"/>
        </w:rPr>
      </w:pPr>
    </w:p>
    <w:p>
      <w:pPr>
        <w:ind w:right="300" w:firstLine="324"/>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Robotruck services. </w:t>
      </w:r>
      <w:r>
        <w:rPr>
          <w:rFonts w:ascii="Times New Roman" w:cs="Times New Roman" w:eastAsia="Times New Roman" w:hAnsi="Times New Roman"/>
          <w:sz w:val="17"/>
          <w:szCs w:val="17"/>
          <w:color w:val="auto"/>
        </w:rPr>
        <w:t>Our revenues generated from robotruck services increased slightly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231F20"/>
        </w:rPr>
        <w:t>0.6</w:t>
      </w:r>
      <w:r>
        <w:rPr>
          <w:rFonts w:ascii="Times New Roman" w:cs="Times New Roman" w:eastAsia="Times New Roman" w:hAnsi="Times New Roman"/>
          <w:sz w:val="17"/>
          <w:szCs w:val="17"/>
          <w:color w:val="auto"/>
        </w:rPr>
        <w:t>% from US$40.4 million in 2024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US$</w:t>
      </w:r>
      <w:r>
        <w:rPr>
          <w:rFonts w:ascii="Times New Roman" w:cs="Times New Roman" w:eastAsia="Times New Roman" w:hAnsi="Times New Roman"/>
          <w:sz w:val="17"/>
          <w:szCs w:val="17"/>
          <w:color w:val="231F20"/>
        </w:rPr>
        <w:t>40.6</w:t>
      </w:r>
      <w:r>
        <w:rPr>
          <w:rFonts w:ascii="Times New Roman" w:cs="Times New Roman" w:eastAsia="Times New Roman" w:hAnsi="Times New Roman"/>
          <w:sz w:val="17"/>
          <w:szCs w:val="17"/>
          <w:color w:val="auto"/>
        </w:rPr>
        <w:t xml:space="preserve"> million in 2025, mainly contributed by our deepened collaboration with Sinotrans to continuously enhance fleet operations.</w:t>
      </w:r>
    </w:p>
    <w:p>
      <w:pPr>
        <w:spacing w:after="0" w:line="132" w:lineRule="exact"/>
        <w:rPr>
          <w:sz w:val="20"/>
          <w:szCs w:val="20"/>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Licensing and applications. </w:t>
      </w:r>
      <w:r>
        <w:rPr>
          <w:rFonts w:ascii="Times New Roman" w:cs="Times New Roman" w:eastAsia="Times New Roman" w:hAnsi="Times New Roman"/>
          <w:sz w:val="18"/>
          <w:szCs w:val="18"/>
          <w:color w:val="auto"/>
        </w:rPr>
        <w:t>Our revenues generated from licensing and applications increased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31F20"/>
        </w:rPr>
        <w:t>19.7</w:t>
      </w:r>
      <w:r>
        <w:rPr>
          <w:rFonts w:ascii="Times New Roman" w:cs="Times New Roman" w:eastAsia="Times New Roman" w:hAnsi="Times New Roman"/>
          <w:sz w:val="18"/>
          <w:szCs w:val="18"/>
          <w:color w:val="auto"/>
        </w:rPr>
        <w:t>% from US$27.3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to US$</w:t>
      </w:r>
      <w:r>
        <w:rPr>
          <w:rFonts w:ascii="Times New Roman" w:cs="Times New Roman" w:eastAsia="Times New Roman" w:hAnsi="Times New Roman"/>
          <w:sz w:val="18"/>
          <w:szCs w:val="18"/>
          <w:color w:val="231F20"/>
        </w:rPr>
        <w:t>32.8</w:t>
      </w:r>
      <w:r>
        <w:rPr>
          <w:rFonts w:ascii="Times New Roman" w:cs="Times New Roman" w:eastAsia="Times New Roman" w:hAnsi="Times New Roman"/>
          <w:sz w:val="18"/>
          <w:szCs w:val="18"/>
          <w:color w:val="auto"/>
        </w:rPr>
        <w:t xml:space="preserve"> million in 2025, mainly attributable to growing demand for our autonomous domain controllers mainly from customers in the low-speed robot delivery, robosweepers, logistics, and humanoid robotics sectors as the delivery volume of our autonomous domain controllers surged by more than five times as compared to that of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cost of revenues increased by </w:t>
      </w:r>
      <w:r>
        <w:rPr>
          <w:rFonts w:ascii="Times New Roman" w:cs="Times New Roman" w:eastAsia="Times New Roman" w:hAnsi="Times New Roman"/>
          <w:sz w:val="18"/>
          <w:szCs w:val="18"/>
          <w:color w:val="231F20"/>
        </w:rPr>
        <w:t>19.2</w:t>
      </w:r>
      <w:r>
        <w:rPr>
          <w:rFonts w:ascii="Times New Roman" w:cs="Times New Roman" w:eastAsia="Times New Roman" w:hAnsi="Times New Roman"/>
          <w:sz w:val="18"/>
          <w:szCs w:val="18"/>
          <w:color w:val="auto"/>
        </w:rPr>
        <w:t>% from US$63.6 million in 2024 to US$</w:t>
      </w:r>
      <w:r>
        <w:rPr>
          <w:rFonts w:ascii="Times New Roman" w:cs="Times New Roman" w:eastAsia="Times New Roman" w:hAnsi="Times New Roman"/>
          <w:sz w:val="18"/>
          <w:szCs w:val="18"/>
          <w:color w:val="231F20"/>
        </w:rPr>
        <w:t>75.8</w:t>
      </w:r>
      <w:r>
        <w:rPr>
          <w:rFonts w:ascii="Times New Roman" w:cs="Times New Roman" w:eastAsia="Times New Roman" w:hAnsi="Times New Roman"/>
          <w:sz w:val="18"/>
          <w:szCs w:val="18"/>
          <w:color w:val="auto"/>
        </w:rPr>
        <w:t xml:space="preserve"> million in 2025. Specifically, the increase in our cost of revenues was primarily due to the increase in direct operation and material cost of US$20.3 million as we incurred significant material costs for specific licensing and applications projects in 2025. Such increase was partially offset by the decrease in employee compensation of US$7.8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foregoing, our gross profit increased from US$11.4 million in 2024 to US$</w:t>
      </w:r>
      <w:r>
        <w:rPr>
          <w:rFonts w:ascii="Times New Roman" w:cs="Times New Roman" w:eastAsia="Times New Roman" w:hAnsi="Times New Roman"/>
          <w:sz w:val="18"/>
          <w:szCs w:val="18"/>
          <w:color w:val="231F20"/>
        </w:rPr>
        <w:t>14.2</w:t>
      </w:r>
      <w:r>
        <w:rPr>
          <w:rFonts w:ascii="Times New Roman" w:cs="Times New Roman" w:eastAsia="Times New Roman" w:hAnsi="Times New Roman"/>
          <w:sz w:val="18"/>
          <w:szCs w:val="18"/>
          <w:color w:val="auto"/>
        </w:rPr>
        <w:t xml:space="preserve"> million in 2025. Our gross margin increased from 15.2% in 2024 to </w:t>
      </w:r>
      <w:r>
        <w:rPr>
          <w:rFonts w:ascii="Times New Roman" w:cs="Times New Roman" w:eastAsia="Times New Roman" w:hAnsi="Times New Roman"/>
          <w:sz w:val="18"/>
          <w:szCs w:val="18"/>
          <w:color w:val="231F20"/>
        </w:rPr>
        <w:t>15.7</w:t>
      </w:r>
      <w:r>
        <w:rPr>
          <w:rFonts w:ascii="Times New Roman" w:cs="Times New Roman" w:eastAsia="Times New Roman" w:hAnsi="Times New Roman"/>
          <w:sz w:val="18"/>
          <w:szCs w:val="18"/>
          <w:color w:val="auto"/>
        </w:rPr>
        <w:t>% in 2025, mainly driven by an optimized revenue mix, characterized by a higher contribution from robotaxi services, which carry a relatively higher gross margin.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Our operating expenses decreased by </w:t>
      </w:r>
      <w:r>
        <w:rPr>
          <w:rFonts w:ascii="Times New Roman" w:cs="Times New Roman" w:eastAsia="Times New Roman" w:hAnsi="Times New Roman"/>
          <w:sz w:val="18"/>
          <w:szCs w:val="18"/>
          <w:color w:val="231F20"/>
        </w:rPr>
        <w:t>7.4</w:t>
      </w:r>
      <w:r>
        <w:rPr>
          <w:rFonts w:ascii="Times New Roman" w:cs="Times New Roman" w:eastAsia="Times New Roman" w:hAnsi="Times New Roman"/>
          <w:sz w:val="18"/>
          <w:szCs w:val="18"/>
          <w:color w:val="auto"/>
        </w:rPr>
        <w:t>% from US$296.9 million in 2024 to US$</w:t>
      </w:r>
      <w:r>
        <w:rPr>
          <w:rFonts w:ascii="Times New Roman" w:cs="Times New Roman" w:eastAsia="Times New Roman" w:hAnsi="Times New Roman"/>
          <w:sz w:val="18"/>
          <w:szCs w:val="18"/>
          <w:color w:val="231F20"/>
        </w:rPr>
        <w:t>275.0</w:t>
      </w:r>
      <w:r>
        <w:rPr>
          <w:rFonts w:ascii="Times New Roman" w:cs="Times New Roman" w:eastAsia="Times New Roman" w:hAnsi="Times New Roman"/>
          <w:sz w:val="18"/>
          <w:szCs w:val="18"/>
          <w:color w:val="auto"/>
        </w:rPr>
        <w:t xml:space="preserve"> million in 2025.</w:t>
      </w:r>
    </w:p>
    <w:p>
      <w:pPr>
        <w:sectPr>
          <w:pgSz w:w="11900" w:h="16838" w:orient="portrait"/>
          <w:cols w:equalWidth="0" w:num="1">
            <w:col w:w="9960"/>
          </w:cols>
          <w:pgMar w:left="980" w:top="513" w:right="9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research and development expenses decreased by </w:t>
      </w:r>
      <w:r>
        <w:rPr>
          <w:rFonts w:ascii="Times New Roman" w:cs="Times New Roman" w:eastAsia="Times New Roman" w:hAnsi="Times New Roman"/>
          <w:sz w:val="18"/>
          <w:szCs w:val="18"/>
          <w:color w:val="231F20"/>
        </w:rPr>
        <w:t>9.5</w:t>
      </w:r>
      <w:r>
        <w:rPr>
          <w:rFonts w:ascii="Times New Roman" w:cs="Times New Roman" w:eastAsia="Times New Roman" w:hAnsi="Times New Roman"/>
          <w:sz w:val="18"/>
          <w:szCs w:val="18"/>
          <w:color w:val="auto"/>
        </w:rPr>
        <w:t>% from US$240.2 million in 2024 to US$</w:t>
      </w:r>
      <w:r>
        <w:rPr>
          <w:rFonts w:ascii="Times New Roman" w:cs="Times New Roman" w:eastAsia="Times New Roman" w:hAnsi="Times New Roman"/>
          <w:sz w:val="18"/>
          <w:szCs w:val="18"/>
          <w:color w:val="231F20"/>
        </w:rPr>
        <w:t>217.4</w:t>
      </w:r>
      <w:r>
        <w:rPr>
          <w:rFonts w:ascii="Times New Roman" w:cs="Times New Roman" w:eastAsia="Times New Roman" w:hAnsi="Times New Roman"/>
          <w:sz w:val="18"/>
          <w:szCs w:val="18"/>
          <w:color w:val="auto"/>
        </w:rPr>
        <w:t xml:space="preserve"> million in 2025, primarily associated with the share-based compensation expenses recognized related to our initial public offering in the United States in the fourth quarter of 2024, partially offset by increased expenses in 2025 from (i) the expansion of our R&amp;D personnel to enhance our capacity for large-scale deployment and (ii) research and development expenses for our Gen-7 vehicle.</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Our selling, general and administrative expenses increased slightly by </w:t>
      </w:r>
      <w:r>
        <w:rPr>
          <w:rFonts w:ascii="Times New Roman" w:cs="Times New Roman" w:eastAsia="Times New Roman" w:hAnsi="Times New Roman"/>
          <w:sz w:val="18"/>
          <w:szCs w:val="18"/>
          <w:color w:val="231F20"/>
        </w:rPr>
        <w:t>1.5</w:t>
      </w:r>
      <w:r>
        <w:rPr>
          <w:rFonts w:ascii="Times New Roman" w:cs="Times New Roman" w:eastAsia="Times New Roman" w:hAnsi="Times New Roman"/>
          <w:sz w:val="18"/>
          <w:szCs w:val="18"/>
          <w:color w:val="auto"/>
        </w:rPr>
        <w:t>% from US$56.7 million in 2024 to US$</w:t>
      </w:r>
      <w:r>
        <w:rPr>
          <w:rFonts w:ascii="Times New Roman" w:cs="Times New Roman" w:eastAsia="Times New Roman" w:hAnsi="Times New Roman"/>
          <w:sz w:val="18"/>
          <w:szCs w:val="18"/>
          <w:color w:val="231F20"/>
        </w:rPr>
        <w:t>57.6</w:t>
      </w:r>
      <w:r>
        <w:rPr>
          <w:rFonts w:ascii="Times New Roman" w:cs="Times New Roman" w:eastAsia="Times New Roman" w:hAnsi="Times New Roman"/>
          <w:sz w:val="18"/>
          <w:szCs w:val="18"/>
          <w:color w:val="auto"/>
        </w:rPr>
        <w:t xml:space="preserve"> million in 2025, attributable primarily to higher personnel expenses incurred to support the accelerated deployment of large-scale commercial operations and increased professional service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investment income increased from US$20.4 million in 2024 to US$</w:t>
      </w:r>
      <w:r>
        <w:rPr>
          <w:rFonts w:ascii="Times New Roman" w:cs="Times New Roman" w:eastAsia="Times New Roman" w:hAnsi="Times New Roman"/>
          <w:sz w:val="18"/>
          <w:szCs w:val="18"/>
          <w:color w:val="231F20"/>
        </w:rPr>
        <w:t>43.0</w:t>
      </w:r>
      <w:r>
        <w:rPr>
          <w:rFonts w:ascii="Times New Roman" w:cs="Times New Roman" w:eastAsia="Times New Roman" w:hAnsi="Times New Roman"/>
          <w:sz w:val="18"/>
          <w:szCs w:val="18"/>
          <w:color w:val="auto"/>
        </w:rPr>
        <w:t xml:space="preserve"> million in 2025, primarily due to our increased interest on bank time deposit and gains from investments in wealth management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fair value of warrants liability</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We did not record any changes in fair value of warrants liability in 2025, as compared to gain in fair value of warrants liability of US$5.6 million recorded in 2024. The changes were primarily due to the expiration of the warrants we granted to an investor.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fair value of trading securities</w:t>
      </w:r>
    </w:p>
    <w:p>
      <w:pPr>
        <w:spacing w:after="0" w:line="229" w:lineRule="exact"/>
        <w:rPr>
          <w:sz w:val="20"/>
          <w:szCs w:val="20"/>
          <w:color w:val="auto"/>
        </w:rPr>
      </w:pPr>
    </w:p>
    <w:p>
      <w:pPr>
        <w:ind w:firstLine="324"/>
        <w:spacing w:after="0" w:line="312" w:lineRule="auto"/>
        <w:rPr>
          <w:sz w:val="20"/>
          <w:szCs w:val="20"/>
          <w:color w:val="auto"/>
        </w:rPr>
      </w:pPr>
      <w:r>
        <w:rPr>
          <w:rFonts w:ascii="Times New Roman" w:cs="Times New Roman" w:eastAsia="Times New Roman" w:hAnsi="Times New Roman"/>
          <w:sz w:val="17"/>
          <w:szCs w:val="17"/>
          <w:color w:val="auto"/>
        </w:rPr>
        <w:t>We recorded changes in fair value of trading securities of US$128.0 million in 2025, as compared to changes in fair value of trading securities of negative US$21.3 million in 2024. The changes were primarily due to fair value changes of our securities investments.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recorded other income, net, of US$</w:t>
      </w:r>
      <w:r>
        <w:rPr>
          <w:rFonts w:ascii="Times New Roman" w:cs="Times New Roman" w:eastAsia="Times New Roman" w:hAnsi="Times New Roman"/>
          <w:sz w:val="18"/>
          <w:szCs w:val="18"/>
          <w:color w:val="231F20"/>
        </w:rPr>
        <w:t>13.1</w:t>
      </w:r>
      <w:r>
        <w:rPr>
          <w:rFonts w:ascii="Times New Roman" w:cs="Times New Roman" w:eastAsia="Times New Roman" w:hAnsi="Times New Roman"/>
          <w:sz w:val="18"/>
          <w:szCs w:val="18"/>
          <w:color w:val="auto"/>
        </w:rPr>
        <w:t xml:space="preserve"> million in 2025, as compared to other income, net of US$5.8 million in 2024, primarily attributable to fluctuations in foreign exchange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benefits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income tax expenses were US$1 thousand in 2024. We did not record any income tax benefits or expenses in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result of the foregoing, we recorded net loss of US$275.0 million and US$</w:t>
      </w:r>
      <w:r>
        <w:rPr>
          <w:rFonts w:ascii="Times New Roman" w:cs="Times New Roman" w:eastAsia="Times New Roman" w:hAnsi="Times New Roman"/>
          <w:sz w:val="18"/>
          <w:szCs w:val="18"/>
          <w:color w:val="231F20"/>
        </w:rPr>
        <w:t>76.8</w:t>
      </w:r>
      <w:r>
        <w:rPr>
          <w:rFonts w:ascii="Times New Roman" w:cs="Times New Roman" w:eastAsia="Times New Roman" w:hAnsi="Times New Roman"/>
          <w:sz w:val="18"/>
          <w:szCs w:val="18"/>
          <w:color w:val="auto"/>
        </w:rPr>
        <w:t xml:space="preserve"> million in 2024 and 2025,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2023 Compared to Year Ended December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Our total revenues increased by 4.3% from US$71.9 million in 2023 to US$75.0 million in 2024, primarily driven by the growth of our robotruck services.</w:t>
      </w:r>
    </w:p>
    <w:p>
      <w:pPr>
        <w:spacing w:after="0" w:line="158" w:lineRule="exact"/>
        <w:rPr>
          <w:sz w:val="20"/>
          <w:szCs w:val="20"/>
          <w:color w:val="auto"/>
        </w:rPr>
      </w:pPr>
    </w:p>
    <w:p>
      <w:pPr>
        <w:ind w:right="20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Robotaxi services. </w:t>
      </w:r>
      <w:r>
        <w:rPr>
          <w:rFonts w:ascii="Times New Roman" w:cs="Times New Roman" w:eastAsia="Times New Roman" w:hAnsi="Times New Roman"/>
          <w:sz w:val="18"/>
          <w:szCs w:val="18"/>
          <w:color w:val="auto"/>
        </w:rPr>
        <w:t>Our revenues generated from robotaxi services decreased by 5.3% from US$7.7 million in 2023 to US$7.3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2024, mainly due to reduced service fees from providing AV engineering solutions based on our collaboration projects’ progression schedule. The decrease was partially offset by an increase in passenger fares driven by the expansion of our public-facing fare-charging robotaxi operations in Tier-1 cities in China.</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Robotruck services. </w:t>
      </w:r>
      <w:r>
        <w:rPr>
          <w:rFonts w:ascii="Times New Roman" w:cs="Times New Roman" w:eastAsia="Times New Roman" w:hAnsi="Times New Roman"/>
          <w:sz w:val="18"/>
          <w:szCs w:val="18"/>
          <w:color w:val="auto"/>
        </w:rPr>
        <w:t>Our revenues generated from robotruck services increased by 61.3% from US$25.0 million in 2023 to US$40.4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2024, which was mainly attributable to the increase in transportation service fees collected by Cyantron, an entity founded by us (as the controlling shareholder) and Sinotrans in 2022, to explore commercialization opportunities in the robotruck services markets.</w:t>
      </w:r>
    </w:p>
    <w:p>
      <w:pPr>
        <w:ind w:right="80"/>
        <w:spacing w:after="0" w:line="253" w:lineRule="auto"/>
        <w:rPr>
          <w:sz w:val="20"/>
          <w:szCs w:val="20"/>
          <w:color w:val="auto"/>
        </w:rPr>
      </w:pPr>
      <w:r>
        <w:rPr>
          <w:rFonts w:ascii="Times New Roman" w:cs="Times New Roman" w:eastAsia="Times New Roman" w:hAnsi="Times New Roman"/>
          <w:sz w:val="18"/>
          <w:szCs w:val="18"/>
          <w:color w:val="auto"/>
        </w:rPr>
        <w:t>Cyantron offers paid transportation services to Sinotrans to fulfill its freight orders across China with a fleet of robotrucks, consisting of both Level 2++ intelligent trucks and Level 4 autonomous trucks with safety drivers. In 2024, Cyantron continued to broaden its geographical footprints in China with a total of over 160 robotrucks, resulting in rising transportation service fees. Specifically, the mileage covered by the Cyantron robotruck fleet increased to approximately 21 million kilometers in 2024 from more than 17 million kilometers in 2023.</w:t>
      </w:r>
    </w:p>
    <w:p>
      <w:pPr>
        <w:spacing w:after="0" w:line="183"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Licensing and applications. </w:t>
      </w:r>
      <w:r>
        <w:rPr>
          <w:rFonts w:ascii="Times New Roman" w:cs="Times New Roman" w:eastAsia="Times New Roman" w:hAnsi="Times New Roman"/>
          <w:sz w:val="18"/>
          <w:szCs w:val="18"/>
          <w:color w:val="auto"/>
        </w:rPr>
        <w:t>Our revenues generated from licensing and applications decreased by 30.1% from US$39.2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to US$27.3 million in 2024, mainly attributable to the decrease in revenues generated from our V2X (vehicle-to-everything) business from US$18.0 million in 2023 to US$0.7 million in 2024. This was because fewer projects reached milestone stages in 2024 for the purposes of revenue recognition in connection with various projects for our V2X business. The decrease was partially offset by the increase in revenues generated from our POV products and services from US$10.2 million in 2023 to US$16.1 million in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cost of revenues increased by 15.6% from US$55.0 million in 2023 to US$63.6 million in 2024. Specifically, the increase in our cost of revenues was primarily due to the increases in (i) fleet operation expenses of US$14.1 million, driven by the increased robotaxi orders and expanding geographical footprints and fleet for Cyantron’s robotruck services, which mainly comprised of vehicle maintenance expenses, fuel costs and tolls in 2024, compared to 2023, and (ii) employee compensation of US$3.5 million as a result of a growing number of engineers and other personnel being assigned to support the accelerated commercial deployment of our technology. Such increase was partially offset by the decrease in direct operating and material costs of US$8.9 million as we did not incur significant material costs for specific licensing and applications projects in 2024, in contrast to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foregoing, our gross profit decreased from US$16.9 million in 2023 to US$11.4 million in 2024. Our gross margin decreased from 23.5% in 2023 to 15.2% in 2024, mainly due to services with relatively lower gross margin contributed an increasing amount to our revenues in 2024 compared to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operating expenses increased by 85.4% from US$160.1 million in 2023 to US$296.9 million in 2024.</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research and development expenses increased by 95.7% from US$122.7 million in 2023 to US$240.2 million in 2024, attributable primarily to the increase in employee compensation of US$109.1 million, which was mainly due to (i) the expenses incurred in connection with the vesting of share-based compensation awards upon our initial public offering in November 2024 of US$98.8 million and (ii) the increases in both the headcount and compensation for our research and development staff. To a lesser extent, the increase in our research and development expenses was also attributable to the increase in development and testing expenses of US$13.5 million as a result of our increased investment in product and technology development.</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selling, general and administrative expenses increased by 51.7% from US$37.4 million in 2023 to US$56.7 million in 2024, attributable primarily to the increase in employee compensation of US$25.0 million, which was mainly due to (i) the expenses incurred in connection with the vesting of share-based compensation awards upon our initial public offering in November 2024 of US$21.9 million, and (ii) the increases in both the headcount and compensation for our selling personnel and general and administrative staff. The increase in our selling, general and administrative expenses was partially offset by the decrease in professional services expenses of US$5.0 million. Professional services expenses associated with our initial public offering have been capitalized in 2024, while they are expensed as incurred in prior years.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18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Our investment income increased from US$19.4 million in 2023 to US$20.4 million in 2024, primarily due to our increased interest on bank time deposit and gains from our investments in wealth management products.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fair value of warrants liability</w:t>
      </w:r>
    </w:p>
    <w:p>
      <w:pPr>
        <w:spacing w:after="0" w:line="202"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We recorded gains in fair value of warrants liability of US$5.6 million in 2024, as compared to loss in fair value of warrants liability of US$3.0 million in 2023. The changes in fair value of warrants liability were primarily due to the expiration of the warrants we granted to an investor.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fair value of trading securities</w:t>
      </w:r>
    </w:p>
    <w:p>
      <w:pPr>
        <w:spacing w:after="0" w:line="18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recorded changes in fair value of trading securities of negative US$21.3 million in 2024, as compared to changes in fair value of trading securities of negative US$4.7 million in 2023. The changes were primarily due to fair value changes of our securities investments.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8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We recorded other income, net, of US$5.8 million in 2024, as compared to other income, net of US$6.2 million in 2023, primarily attributable to fluctuations in foreign exchange rates.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benefits (expenses)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recorded income tax benefits of US$0.1 million and income tax expenses of US$1 thousand in 2023 and 2024,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result of the foregoing, we recorded net loss of US$125.3 million and US$275.0 million in 2023 and 2024,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For information on recently issued accounting pronouncements, refer to Note 2 to our consolidated financial statements included elsewhere in this annual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5.B. Liquidity and Capital Resources</w:t>
      </w:r>
    </w:p>
    <w:p>
      <w:pPr>
        <w:spacing w:after="0" w:line="20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principal sources of liquidity have been cash raised from the issuance of equity securities. As of December 31, 2025, we had a total of US$</w:t>
      </w:r>
      <w:r>
        <w:rPr>
          <w:rFonts w:ascii="Times New Roman" w:cs="Times New Roman" w:eastAsia="Times New Roman" w:hAnsi="Times New Roman"/>
          <w:sz w:val="18"/>
          <w:szCs w:val="18"/>
          <w:color w:val="231F20"/>
        </w:rPr>
        <w:t>1,165.6</w:t>
      </w:r>
      <w:r>
        <w:rPr>
          <w:rFonts w:ascii="Times New Roman" w:cs="Times New Roman" w:eastAsia="Times New Roman" w:hAnsi="Times New Roman"/>
          <w:sz w:val="18"/>
          <w:szCs w:val="18"/>
          <w:color w:val="auto"/>
        </w:rPr>
        <w:t xml:space="preserve"> million in cash and cash equivalents and short-term investments, of which </w:t>
      </w:r>
      <w:r>
        <w:rPr>
          <w:rFonts w:ascii="Times New Roman" w:cs="Times New Roman" w:eastAsia="Times New Roman" w:hAnsi="Times New Roman"/>
          <w:sz w:val="18"/>
          <w:szCs w:val="18"/>
          <w:color w:val="231F20"/>
        </w:rPr>
        <w:t>21.2</w:t>
      </w:r>
      <w:r>
        <w:rPr>
          <w:rFonts w:ascii="Times New Roman" w:cs="Times New Roman" w:eastAsia="Times New Roman" w:hAnsi="Times New Roman"/>
          <w:sz w:val="18"/>
          <w:szCs w:val="18"/>
          <w:color w:val="auto"/>
        </w:rPr>
        <w:t>% were denominated in Renminbi and held by our PRC subsidiaries. The remaining cash and cash equivalents and short-term investments were denominated in U.S. dollars and held by our company and our subsidiaries in Hong Kong or the United States. Our cash and cash equivalents and short-term investments consist primarily of cash on hand, bank time deposit and highly liquid investments placed with multiple banks or other financial institutions across geographic locations, which are unrestricted for withdrawal or use and have original maturities of 12 months or less. We manage these liquid assets in a prudent manner to mitigate cash management risks.</w:t>
      </w:r>
    </w:p>
    <w:p>
      <w:pPr>
        <w:spacing w:after="0" w:line="14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and cash equivalents and short-term investments will be sufficient to meet our anticipated working capital requirements and capital expenditures for at least the next 12 months following the date of this annual report. We may, however, require additional cash due to changing business conditions or other future developments, including any investments or acquisitions we may decide to pursue. If our existing cash is insufficient to meet our requirements, we may seek to issue debt or equity securities or obtain credit facilities. Financing may be unavailable in the amounts we need or on terms acceptable to us, if at all. Issuance of additional equity securities, including convertible debt securities, would dilute our earnings per share. The incurrence of debt would divert cash for working capital and capital expenditures to service debt obligations and could result in operating and financial covenants that restrict our operations and our ability to pay dividends to our shareholders. If we are unable to obtain additional equity or debt financing as required, our business operations and prospects may suffer. See “Item 3. Key Information— 3.D. Risk Factors—Risks Related to Our Business and Industry—We require a significant amount of capital to fund our operations and growth. If we cannot obtain sufficient capital on acceptable terms, our business, financial condition and prospects may be materially and adversely affected.”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32"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2" w:lineRule="exact"/>
        <w:rPr>
          <w:sz w:val="20"/>
          <w:szCs w:val="20"/>
          <w:color w:val="auto"/>
        </w:rPr>
      </w:pPr>
    </w:p>
    <w:tbl>
      <w:tblPr>
        <w:tblLayout w:type="fixed"/>
        <w:tblInd w:w="1000" w:type="dxa"/>
        <w:tblCellMar>
          <w:top w:w="0" w:type="dxa"/>
          <w:left w:w="0" w:type="dxa"/>
          <w:bottom w:w="0" w:type="dxa"/>
          <w:right w:w="0" w:type="dxa"/>
        </w:tblCellMar>
      </w:tblPr>
      <w:tr>
        <w:trPr>
          <w:trHeight w:val="20"/>
        </w:trPr>
        <w:tc>
          <w:tcPr>
            <w:tcW w:w="540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r>
      <w:tr>
        <w:trPr>
          <w:trHeight w:val="122"/>
        </w:trPr>
        <w:tc>
          <w:tcPr>
            <w:tcW w:w="5400" w:type="dxa"/>
            <w:vAlign w:val="bottom"/>
          </w:tcPr>
          <w:p>
            <w:pPr>
              <w:ind w:left="528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154"/>
              <w:spacing w:after="0" w:line="122" w:lineRule="exact"/>
              <w:rPr>
                <w:sz w:val="20"/>
                <w:szCs w:val="20"/>
                <w:color w:val="auto"/>
              </w:rPr>
            </w:pPr>
            <w:r>
              <w:rPr>
                <w:rFonts w:ascii="Times New Roman" w:cs="Times New Roman" w:eastAsia="Times New Roman" w:hAnsi="Times New Roman"/>
                <w:sz w:val="14"/>
                <w:szCs w:val="14"/>
                <w:b w:val="1"/>
                <w:bCs w:val="1"/>
                <w:color w:val="auto"/>
              </w:rPr>
              <w:t>2023</w:t>
            </w:r>
          </w:p>
        </w:tc>
        <w:tc>
          <w:tcPr>
            <w:tcW w:w="960" w:type="dxa"/>
            <w:vAlign w:val="bottom"/>
            <w:gridSpan w:val="3"/>
          </w:tcPr>
          <w:p>
            <w:pPr>
              <w:jc w:val="right"/>
              <w:ind w:right="300"/>
              <w:spacing w:after="0" w:line="122" w:lineRule="exact"/>
              <w:rPr>
                <w:sz w:val="20"/>
                <w:szCs w:val="20"/>
                <w:color w:val="auto"/>
              </w:rPr>
            </w:pPr>
            <w:r>
              <w:rPr>
                <w:rFonts w:ascii="Times New Roman" w:cs="Times New Roman" w:eastAsia="Times New Roman" w:hAnsi="Times New Roman"/>
                <w:sz w:val="14"/>
                <w:szCs w:val="14"/>
                <w:b w:val="1"/>
                <w:bCs w:val="1"/>
                <w:color w:val="auto"/>
              </w:rPr>
              <w:t>​​​   2024</w:t>
            </w:r>
          </w:p>
        </w:tc>
        <w:tc>
          <w:tcPr>
            <w:tcW w:w="860" w:type="dxa"/>
            <w:vAlign w:val="bottom"/>
            <w:gridSpan w:val="2"/>
          </w:tcPr>
          <w:p>
            <w:pPr>
              <w:jc w:val="right"/>
              <w:ind w:right="159"/>
              <w:spacing w:after="0" w:line="122" w:lineRule="exact"/>
              <w:rPr>
                <w:sz w:val="20"/>
                <w:szCs w:val="20"/>
                <w:color w:val="auto"/>
              </w:rPr>
            </w:pPr>
            <w:r>
              <w:rPr>
                <w:rFonts w:ascii="Times New Roman" w:cs="Times New Roman" w:eastAsia="Times New Roman" w:hAnsi="Times New Roman"/>
                <w:sz w:val="14"/>
                <w:szCs w:val="14"/>
                <w:b w:val="1"/>
                <w:bCs w:val="1"/>
                <w:color w:val="auto"/>
              </w:rPr>
              <w:t>​​​   2025</w:t>
            </w:r>
          </w:p>
        </w:tc>
      </w:tr>
      <w:tr>
        <w:trPr>
          <w:trHeight w:val="142"/>
        </w:trPr>
        <w:tc>
          <w:tcPr>
            <w:tcW w:w="54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129"/>
        </w:trPr>
        <w:tc>
          <w:tcPr>
            <w:tcW w:w="5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16"/>
        </w:trPr>
        <w:tc>
          <w:tcPr>
            <w:tcW w:w="54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(115,421)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(110,758)</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(164,955)</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136,494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(181,267)</w:t>
            </w:r>
          </w:p>
        </w:tc>
        <w:tc>
          <w:tcPr>
            <w:tcW w:w="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(889,160)</w:t>
            </w:r>
          </w:p>
        </w:tc>
      </w:tr>
      <w:tr>
        <w:trPr>
          <w:trHeight w:val="216"/>
        </w:trPr>
        <w:tc>
          <w:tcPr>
            <w:tcW w:w="54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89,764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407,389</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814,833</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(5,397)</w:t>
            </w:r>
          </w:p>
        </w:tc>
        <w:tc>
          <w:tcPr>
            <w:tcW w:w="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(1,177)</w:t>
            </w:r>
          </w:p>
        </w:tc>
      </w:tr>
      <w:tr>
        <w:trPr>
          <w:trHeight w:val="216"/>
        </w:trPr>
        <w:tc>
          <w:tcPr>
            <w:tcW w:w="54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107,687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109,967</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(240,459)</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year</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318,518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426,205</w:t>
            </w:r>
          </w:p>
        </w:tc>
        <w:tc>
          <w:tcPr>
            <w:tcW w:w="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536,172</w:t>
            </w:r>
          </w:p>
        </w:tc>
      </w:tr>
      <w:tr>
        <w:trPr>
          <w:trHeight w:val="209"/>
        </w:trPr>
        <w:tc>
          <w:tcPr>
            <w:tcW w:w="540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year</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426,205</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536,172</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295,713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US$115.4 million for the year ended December 31, 2023, attributable primarily to net loss of US$125.3 million, adjusted for (i) a net increase of non-cash items of US$29.6 million, which consisted primarily of depreciation and amortization, non-cash lease expense, changes in fair value of equity investment and share-based compensation, and (ii) a net decrease of US$19.7 million in changes in operating assets and liabilities. The net decrease in changes in operating assets and liabilities was attributable primarily to (a) the increase in accounts receivable of US$16.4 million as the commercialization of our technology continued to progress, and (b) the increase in prepaid expenses and other current assets of US$5.0 million, generally in line with our business expansion, partially offset by the decrease in amounts due from related parties of US$5.6 million.</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US$110.8 million for the year ended December 31, 2024, attributable primarily to net loss of US$275.0 million, adjusted for (i) a net increase of non-cash items of US$152.1 million, which consisted primarily of share-based compensation, changes in fair value of equity investment and realized losses from investments, depreciation and amortization and non-cash lease expense, and (ii) a net increase of US$12.2 million in changes in operating assets and liabilities. The net increase in changes in operating assets and liabilities was attributable primarily to the increases in (a) accounts payable and other current liabilities of US$23.2 million, generally in line with our business expansion, and (b) operating lease liabilities of US$7.2 million relating to the new office spaces in Beijing leased in 2024, partially offset by the increases in (a) right-of-assets of US$11.4 million from new leased properties and (b) prepaid expenses and other current assets of US$9.9 million, generally in line with our business expansion.</w:t>
      </w:r>
    </w:p>
    <w:p>
      <w:pPr>
        <w:spacing w:after="0" w:line="192" w:lineRule="exact"/>
        <w:rPr>
          <w:sz w:val="20"/>
          <w:szCs w:val="20"/>
          <w:color w:val="auto"/>
        </w:rPr>
      </w:pPr>
    </w:p>
    <w:p>
      <w:pPr>
        <w:jc w:val="both"/>
        <w:ind w:right="100" w:firstLine="324"/>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US$</w:t>
      </w:r>
      <w:r>
        <w:rPr>
          <w:rFonts w:ascii="Times New Roman" w:cs="Times New Roman" w:eastAsia="Times New Roman" w:hAnsi="Times New Roman"/>
          <w:sz w:val="18"/>
          <w:szCs w:val="18"/>
          <w:color w:val="231F20"/>
        </w:rPr>
        <w:t>165.0</w:t>
      </w:r>
      <w:r>
        <w:rPr>
          <w:rFonts w:ascii="Times New Roman" w:cs="Times New Roman" w:eastAsia="Times New Roman" w:hAnsi="Times New Roman"/>
          <w:sz w:val="18"/>
          <w:szCs w:val="18"/>
          <w:color w:val="auto"/>
        </w:rPr>
        <w:t xml:space="preserve"> million for the year ended December 31, 2025, attributable primarily to net loss of US$</w:t>
      </w:r>
      <w:r>
        <w:rPr>
          <w:rFonts w:ascii="Times New Roman" w:cs="Times New Roman" w:eastAsia="Times New Roman" w:hAnsi="Times New Roman"/>
          <w:sz w:val="18"/>
          <w:szCs w:val="18"/>
          <w:color w:val="231F20"/>
        </w:rPr>
        <w:t>76.8</w:t>
      </w:r>
      <w:r>
        <w:rPr>
          <w:rFonts w:ascii="Times New Roman" w:cs="Times New Roman" w:eastAsia="Times New Roman" w:hAnsi="Times New Roman"/>
          <w:sz w:val="18"/>
          <w:szCs w:val="18"/>
          <w:color w:val="auto"/>
        </w:rPr>
        <w:t xml:space="preserve"> million, adjusted for (i) a net decrease of non-cash items of US$108.6 million, which consisted primarily of changes in fair value of equity investments, share-based compensation and realized losses from investments, and (ii) a net increase of US$20.4 million in changes in operating assets and liabilities. The net increase in changes in operating assets and liabilities was attributable primarily to</w:t>
      </w:r>
    </w:p>
    <w:p>
      <w:pPr>
        <w:spacing w:after="0" w:line="3" w:lineRule="exact"/>
        <w:rPr>
          <w:sz w:val="20"/>
          <w:szCs w:val="20"/>
          <w:color w:val="auto"/>
        </w:rPr>
      </w:pPr>
    </w:p>
    <w:p>
      <w:pPr>
        <w:ind w:left="260" w:hanging="252"/>
        <w:spacing w:after="0"/>
        <w:tabs>
          <w:tab w:leader="none" w:pos="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accounts payable and other current liabilities of US$14.2 million, generally in line with our business expansion, and</w:t>
      </w:r>
    </w:p>
    <w:p>
      <w:pPr>
        <w:spacing w:after="0" w:line="9" w:lineRule="exact"/>
        <w:rPr>
          <w:rFonts w:ascii="Times New Roman" w:cs="Times New Roman" w:eastAsia="Times New Roman" w:hAnsi="Times New Roman"/>
          <w:sz w:val="18"/>
          <w:szCs w:val="18"/>
          <w:color w:val="auto"/>
        </w:rPr>
      </w:pPr>
    </w:p>
    <w:p>
      <w:pPr>
        <w:ind w:right="300" w:firstLine="8"/>
        <w:spacing w:after="0" w:line="260" w:lineRule="auto"/>
        <w:tabs>
          <w:tab w:leader="none" w:pos="2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decrease in prepapid expenses and other current assets of US$11.1 million, partially offset by </w:t>
      </w:r>
      <w:r>
        <w:rPr>
          <w:rFonts w:ascii="Times New Roman" w:cs="Times New Roman" w:eastAsia="Times New Roman" w:hAnsi="Times New Roman"/>
          <w:sz w:val="18"/>
          <w:szCs w:val="18"/>
          <w:color w:val="231F20"/>
        </w:rPr>
        <w:t>the increase in right-of-assets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US$6.2 million from new leased properties.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right="500"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US$136.5 million for the year ended December 31, 2023. This was attributable primarily to proceeds from the sales and maturities of investments of US$221.8 million, partially offset by purchases of short-term investments of US$66.1 million and purchases of long-term investments of US$15.0 million.</w:t>
      </w:r>
    </w:p>
    <w:p>
      <w:pPr>
        <w:spacing w:after="0" w:line="17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US$181.3 million for the year ended December 31, 2024. This was attributable primarily to purchases of short-term investments of US$513.6 million and purchases of long-term investments of US$113.8 million, partially offset by proceeds from the sales and maturities of investments of US$510.3 million.</w:t>
      </w:r>
    </w:p>
    <w:p>
      <w:pPr>
        <w:spacing w:after="0" w:line="17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US$</w:t>
      </w:r>
      <w:r>
        <w:rPr>
          <w:rFonts w:ascii="Times New Roman" w:cs="Times New Roman" w:eastAsia="Times New Roman" w:hAnsi="Times New Roman"/>
          <w:sz w:val="18"/>
          <w:szCs w:val="18"/>
          <w:color w:val="231F20"/>
        </w:rPr>
        <w:t>889.2</w:t>
      </w:r>
      <w:r>
        <w:rPr>
          <w:rFonts w:ascii="Times New Roman" w:cs="Times New Roman" w:eastAsia="Times New Roman" w:hAnsi="Times New Roman"/>
          <w:sz w:val="18"/>
          <w:szCs w:val="18"/>
          <w:color w:val="auto"/>
        </w:rPr>
        <w:t xml:space="preserve"> million for the year ended December 31, 2025. This was attributable primarily to purchases of short-term investments of US$</w:t>
      </w:r>
      <w:r>
        <w:rPr>
          <w:rFonts w:ascii="Times New Roman" w:cs="Times New Roman" w:eastAsia="Times New Roman" w:hAnsi="Times New Roman"/>
          <w:sz w:val="18"/>
          <w:szCs w:val="18"/>
          <w:color w:val="231F20"/>
        </w:rPr>
        <w:t>816.7</w:t>
      </w:r>
      <w:r>
        <w:rPr>
          <w:rFonts w:ascii="Times New Roman" w:cs="Times New Roman" w:eastAsia="Times New Roman" w:hAnsi="Times New Roman"/>
          <w:sz w:val="18"/>
          <w:szCs w:val="18"/>
          <w:color w:val="auto"/>
        </w:rPr>
        <w:t xml:space="preserve"> million and purchases of long-term investments of US$414.3 million, partially offset by proceeds from the sales and maturities of investments of US$</w:t>
      </w:r>
      <w:r>
        <w:rPr>
          <w:rFonts w:ascii="Times New Roman" w:cs="Times New Roman" w:eastAsia="Times New Roman" w:hAnsi="Times New Roman"/>
          <w:sz w:val="18"/>
          <w:szCs w:val="18"/>
          <w:color w:val="231F20"/>
        </w:rPr>
        <w:t>385.6</w:t>
      </w:r>
      <w:r>
        <w:rPr>
          <w:rFonts w:ascii="Times New Roman" w:cs="Times New Roman" w:eastAsia="Times New Roman" w:hAnsi="Times New Roman"/>
          <w:sz w:val="18"/>
          <w:szCs w:val="18"/>
          <w:color w:val="auto"/>
        </w:rPr>
        <w:t xml:space="preserve"> million.</w:t>
      </w:r>
    </w:p>
    <w:p>
      <w:pPr>
        <w:sectPr>
          <w:pgSz w:w="11900" w:h="16838" w:orient="portrait"/>
          <w:cols w:equalWidth="0" w:num="1">
            <w:col w:w="9900"/>
          </w:cols>
          <w:pgMar w:left="980" w:top="513" w:right="101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Short-term investments represent primarily our investments in wealth management products. The underlying assets of these wealth management products include corporate bonds, asset-backed securities and commercial papers, all of which have low-risk profiles. Long-term investments consist primarily of our investments in marketable debt securities, term deposits and certificate of deposits, and equity investments in certain private companies and funds.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US$89.8 million for the year ended December 31, 2023. This was attributable primarily to net proceeds from issuance of Series D convertible redeemable preferred shares of US$104.0 million.</w:t>
      </w:r>
    </w:p>
    <w:p>
      <w:pPr>
        <w:spacing w:after="0" w:line="162"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US$407.4 million for the year ended December 31, 2024. This was attributable primarily to net proceeds from our initial public offering and the concurrent private placement of US$408.4 million.</w:t>
      </w:r>
    </w:p>
    <w:p>
      <w:pPr>
        <w:spacing w:after="0" w:line="16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US$</w:t>
      </w:r>
      <w:r>
        <w:rPr>
          <w:rFonts w:ascii="Times New Roman" w:cs="Times New Roman" w:eastAsia="Times New Roman" w:hAnsi="Times New Roman"/>
          <w:sz w:val="18"/>
          <w:szCs w:val="18"/>
          <w:color w:val="231F20"/>
        </w:rPr>
        <w:t>814.8</w:t>
      </w:r>
      <w:r>
        <w:rPr>
          <w:rFonts w:ascii="Times New Roman" w:cs="Times New Roman" w:eastAsia="Times New Roman" w:hAnsi="Times New Roman"/>
          <w:sz w:val="18"/>
          <w:szCs w:val="18"/>
          <w:color w:val="auto"/>
        </w:rPr>
        <w:t xml:space="preserve"> million for the year ended December 31, 2025. This was attributable primarily to proceeds from issuance of Class A ordinary shares upon the completion of our Listing of US$829.4 million</w:t>
      </w:r>
      <w:r>
        <w:rPr>
          <w:rFonts w:ascii="Times New Roman" w:cs="Times New Roman" w:eastAsia="Times New Roman" w:hAnsi="Times New Roman"/>
          <w:sz w:val="18"/>
          <w:szCs w:val="18"/>
          <w:color w:val="231F20"/>
        </w:rPr>
        <w:t>, partially offset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by payments made in relation to settlement of RSUs of US$12.6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We made capital expenditures of US$5.1 million, US$11.4 million and US$43.9 million in 2023, 2024 and 2025, respectively. Historically, our capital expenditures were primarily made in connection with the purchases of (i) vehicle and equipment for technology development, production and commercial operations, (ii) computer and equipment, including servers, computers and other network equipment, (iii) leasehold improvement, (iv) software necessary for our technology development and (v) furniture and fixtures. Historically, as our business continued to grow rapidly, our capital expenditures increased over time. We intend to continue to invest in capital expenditures to bolster business expansion, especially with the acceleration of large-scale commercialization.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Pony AI Inc. is a holding company with no material operations of its own. We conduct our operations mainly through our subsidiaries. As a result, our ability to pay dividends depends upon dividends paid by our subsidiaries. If our subsidiaries incur debt on their own behalf in the future, the instruments governing their debt may restrict their ability to pay dividends to us. In addition, our subsidiaries in China are permitted to pay dividends to us only out of their retained earnings, if any, as determined in accordance with the PRC accounting standards and regulations. Under the PRC law, each of our subsidiaries in China is required to set aside at least 10% of its after-tax profits each year, if any, to fund certain statutory reserve funds until such reserve funds reach 50% of its registered capital. In addition, each of our PRC subsidiaries may allocate a portion of its after-tax profits based on PRC accounting standards to a discretionary surplus fund at its discretion. The statutory reserve funds and the discretionary funds are not distributable as cash dividends. Remittance of dividends by a wholly foreign-owned company out of China is subject to examination by the banks designated by the SAFE. Our PRC subsidiaries have not paid dividends and will not be able to pay dividends until they generate accumulated profits and meet the requirements for statutory reserve funds.</w:t>
      </w:r>
    </w:p>
    <w:p>
      <w:pPr>
        <w:spacing w:after="0" w:line="19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are permitted under PRC laws and regulations to provide funding to our PRC subsidiaries in China through capital contributions or loans, subject to the approval of regulatory authorities and limits on the amount of capital contributions and loans. See “Item 3. Key Information—3.D. Risk Factors—Risks Related to Doing Business in China—PRC regulation of loans to and direct investment in PRC entities by offshore holding companies and governmental control of currency conversion may restrict or delay us from using the proceeds of our initial public offering and the concurrent private placements as well as the proceeds from issuance of Class A ordinary shares upon the completion of our Listing to make loans or additional capital contributions to our PRC subsidiaries, which could adversely affect our liquidity and our ability to fund and expand our business” and “Item 14. Material Modifications to the Rights of Security Holders and Use of Proceeds—14.E. Use of Proceeds.” The ability of our subsidiaries in China to make dividends or other cash payments to us is subject to various restrictions under PRC laws and regulations. See “Item 3. Key Information—3.D. Risk Factors—Risks Related to Doing Business in China—We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and “Item 3. Key Information—3.D. Risk Factors—Risks Related to Doing Business in China—We may be classified as a “PRC resident enterprise” for PRC enterprise income tax purposes, which could result in unfavorable tax consequences to us and non-PRC holders of the ADSs or ordinary shares and have a material adverse effect on our results of operations and the value of your investment.”</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5.C. Research and Development</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have invested a significant amount of time and effort into research and development of proprietary artificial intelligence, algorithms and software and hardware components to constantly enhance the capability of our </w:t>
      </w:r>
      <w:r>
        <w:rPr>
          <w:rFonts w:ascii="Times New Roman" w:cs="Times New Roman" w:eastAsia="Times New Roman" w:hAnsi="Times New Roman"/>
          <w:sz w:val="18"/>
          <w:szCs w:val="18"/>
          <w:i w:val="1"/>
          <w:iCs w:val="1"/>
          <w:color w:val="auto"/>
        </w:rPr>
        <w:t>Virtual Driver</w:t>
      </w:r>
      <w:r>
        <w:rPr>
          <w:rFonts w:ascii="Times New Roman" w:cs="Times New Roman" w:eastAsia="Times New Roman" w:hAnsi="Times New Roman"/>
          <w:sz w:val="18"/>
          <w:szCs w:val="18"/>
          <w:color w:val="auto"/>
        </w:rPr>
        <w:t xml:space="preserve"> and solidify our technology leadership in the market. As the commercial deployment of our autonomous driving technology progresses, we are also devoted to adapting and optimizing our technology to different commercial use cases. As of December 31, 2025, we had </w:t>
      </w:r>
      <w:r>
        <w:rPr>
          <w:rFonts w:ascii="Times New Roman" w:cs="Times New Roman" w:eastAsia="Times New Roman" w:hAnsi="Times New Roman"/>
          <w:sz w:val="18"/>
          <w:szCs w:val="18"/>
          <w:color w:val="231F20"/>
        </w:rPr>
        <w:t>811</w:t>
      </w:r>
      <w:r>
        <w:rPr>
          <w:rFonts w:ascii="Times New Roman" w:cs="Times New Roman" w:eastAsia="Times New Roman" w:hAnsi="Times New Roman"/>
          <w:sz w:val="18"/>
          <w:szCs w:val="18"/>
          <w:color w:val="auto"/>
        </w:rPr>
        <w:t xml:space="preserve"> engineers, researchers and scientists whose expertise spans a broad range of disciplines such as vehicle engineering, industry design, AI and machine learning and data analytics. Our research and development teams are responsible for the design, development and testing of our autonomous driving technology.</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research and development presence across multiple locations has enabled us to develop, test and refine our autonomous driving technology based on diverse road, and weather, resulting in more reliable, resilient and scalable autonomous driving solutions. Our multi-center approach, combined with our leadership in the industry, also allows us to attract and retain top talents across the world, which contributes to our long-term business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5.D. Trend Information</w:t>
      </w:r>
    </w:p>
    <w:p>
      <w:pPr>
        <w:spacing w:after="0" w:line="229"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year ended December 31, 2025 that are reasonably likely to have a material and adverse effect on our net revenues, income, profitability, liquidity or capital resources, or that would cause the disclosed financial information to be not necessarily indicative of future results of operations or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5.E. Off-Balance Sheet Arrangements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5.F. Tabular Disclosure of Contractual Obligations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contractual obligations as of December 31, 2025 included lease commitments.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out our lease commitments as of December 31,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2880" w:type="dxa"/>
            <w:vAlign w:val="bottom"/>
            <w:gridSpan w:val="2"/>
          </w:tcPr>
          <w:p>
            <w:pPr>
              <w:ind w:left="21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2420" w:type="dxa"/>
            <w:vAlign w:val="bottom"/>
            <w:gridSpan w:val="6"/>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Payment Due by December 31,</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580" w:type="dxa"/>
            <w:vAlign w:val="bottom"/>
          </w:tcPr>
          <w:p>
            <w:pPr>
              <w:spacing w:after="0"/>
              <w:rPr>
                <w:sz w:val="11"/>
                <w:szCs w:val="11"/>
                <w:color w:val="auto"/>
              </w:rPr>
            </w:pPr>
          </w:p>
        </w:tc>
        <w:tc>
          <w:tcPr>
            <w:tcW w:w="2880" w:type="dxa"/>
            <w:vAlign w:val="bottom"/>
            <w:gridSpan w:val="2"/>
          </w:tcPr>
          <w:p>
            <w:pPr>
              <w:ind w:left="2120"/>
              <w:spacing w:after="0" w:line="131"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2026</w:t>
            </w: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2027</w:t>
            </w:r>
          </w:p>
        </w:tc>
        <w:tc>
          <w:tcPr>
            <w:tcW w:w="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2028</w:t>
            </w:r>
          </w:p>
        </w:tc>
        <w:tc>
          <w:tcPr>
            <w:tcW w:w="880" w:type="dxa"/>
            <w:vAlign w:val="bottom"/>
            <w:gridSpan w:val="2"/>
          </w:tcPr>
          <w:p>
            <w:pPr>
              <w:jc w:val="right"/>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 2029 and</w:t>
            </w: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5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w w:val="89"/>
              </w:rPr>
              <w:t>(in 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commitments</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17,904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5,931</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231F20"/>
              </w:rPr>
              <w:t>4,707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3,292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3,974</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5.G. Safe Harbor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“Forward-Looking Information.”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DIRECTORS, SENIOR MANAGEMENT AND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6.A. Directors and Senior Management</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 age and position of each of our directors and executive officers as of the date of this annual report.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8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   Age</w:t>
            </w:r>
          </w:p>
        </w:tc>
        <w:tc>
          <w:tcPr>
            <w:tcW w:w="4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Position/Title</w:t>
            </w:r>
          </w:p>
        </w:tc>
      </w:tr>
      <w:tr>
        <w:trPr>
          <w:trHeight w:val="210"/>
        </w:trPr>
        <w:tc>
          <w:tcPr>
            <w:tcW w:w="4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Jun Peng</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231F20"/>
              </w:rPr>
              <w:t>51</w:t>
            </w:r>
          </w:p>
        </w:tc>
        <w:tc>
          <w:tcPr>
            <w:tcW w:w="22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Co-founder, Chief Executive Officer</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Dr. Tiancheng Lou</w:t>
            </w:r>
          </w:p>
        </w:tc>
        <w:tc>
          <w:tcPr>
            <w:tcW w:w="8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231F20"/>
              </w:rPr>
              <w:t>40</w:t>
            </w:r>
          </w:p>
        </w:tc>
        <w:tc>
          <w:tcPr>
            <w:tcW w:w="2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Director, Co-founder, Chief Technology Officer</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Fei Zhang</w:t>
            </w:r>
          </w:p>
        </w:tc>
        <w:tc>
          <w:tcPr>
            <w:tcW w:w="8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231F20"/>
              </w:rPr>
              <w:t>53</w:t>
            </w:r>
          </w:p>
        </w:tc>
        <w:tc>
          <w:tcPr>
            <w:tcW w:w="2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Mr. Takeo Hamada</w:t>
            </w:r>
          </w:p>
        </w:tc>
        <w:tc>
          <w:tcPr>
            <w:tcW w:w="8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231F20"/>
              </w:rPr>
              <w:t>58</w:t>
            </w:r>
          </w:p>
        </w:tc>
        <w:tc>
          <w:tcPr>
            <w:tcW w:w="2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Haojun Wang</w:t>
            </w:r>
          </w:p>
        </w:tc>
        <w:tc>
          <w:tcPr>
            <w:tcW w:w="8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231F20"/>
              </w:rPr>
              <w:t>49</w:t>
            </w:r>
          </w:p>
        </w:tc>
        <w:tc>
          <w:tcPr>
            <w:tcW w:w="2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Mr. Ning Zhang</w:t>
            </w:r>
          </w:p>
        </w:tc>
        <w:tc>
          <w:tcPr>
            <w:tcW w:w="8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231F20"/>
              </w:rPr>
              <w:t>40</w:t>
            </w:r>
          </w:p>
        </w:tc>
        <w:tc>
          <w:tcPr>
            <w:tcW w:w="2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Luyi Mo</w:t>
            </w:r>
          </w:p>
        </w:tc>
        <w:tc>
          <w:tcPr>
            <w:tcW w:w="8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231F20"/>
              </w:rPr>
              <w:t>37</w:t>
            </w:r>
          </w:p>
        </w:tc>
        <w:tc>
          <w:tcPr>
            <w:tcW w:w="2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Mr. Jackson Tai</w:t>
            </w:r>
          </w:p>
        </w:tc>
        <w:tc>
          <w:tcPr>
            <w:tcW w:w="8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231F20"/>
              </w:rPr>
              <w:t>75</w:t>
            </w:r>
          </w:p>
        </w:tc>
        <w:tc>
          <w:tcPr>
            <w:tcW w:w="2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Mark Qiu</w:t>
            </w:r>
          </w:p>
        </w:tc>
        <w:tc>
          <w:tcPr>
            <w:tcW w:w="8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231F20"/>
              </w:rPr>
              <w:t>62</w:t>
            </w:r>
          </w:p>
        </w:tc>
        <w:tc>
          <w:tcPr>
            <w:tcW w:w="2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Ms. Asmau Ahmed</w:t>
            </w:r>
          </w:p>
        </w:tc>
        <w:tc>
          <w:tcPr>
            <w:tcW w:w="8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231F20"/>
              </w:rPr>
              <w:t>47</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177"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Dr. Jun Peng </w:t>
      </w:r>
      <w:r>
        <w:rPr>
          <w:rFonts w:ascii="Times New Roman" w:cs="Times New Roman" w:eastAsia="Times New Roman" w:hAnsi="Times New Roman"/>
          <w:sz w:val="18"/>
          <w:szCs w:val="18"/>
          <w:color w:val="auto"/>
        </w:rPr>
        <w:t>co-founded Pony in 2016 and currently serves as Chairman of the Board and our Chief Executive Officer. Prior to co-founding Pony, Dr. Peng served as the Chief Architect of Baidu (Nasdaq: BIDU, HKEX: 9888) from 2011 to 2016, in charge of the R&amp;D of Baidu’s autonomous driving unit. Prior to that, Dr. Peng worked as a software engineer at Alphabet Inc. (Nasdaq: GOOGL, GOOG) between 2005 and 2011, specializing in back-end and front-end advertising system, and during which he received the highest internal honor, the Google Founder’s Award. Dr. Peng obtained a bachelor’s degree from Tsinghua University, and a Ph.D. degree from Stanford University.</w:t>
      </w:r>
    </w:p>
    <w:p>
      <w:pPr>
        <w:spacing w:after="0" w:line="182" w:lineRule="exact"/>
        <w:rPr>
          <w:sz w:val="20"/>
          <w:szCs w:val="20"/>
          <w:color w:val="auto"/>
        </w:rPr>
      </w:pPr>
    </w:p>
    <w:p>
      <w:pPr>
        <w:ind w:right="18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Dr. Tiancheng Lou </w:t>
      </w:r>
      <w:r>
        <w:rPr>
          <w:rFonts w:ascii="Times New Roman" w:cs="Times New Roman" w:eastAsia="Times New Roman" w:hAnsi="Times New Roman"/>
          <w:sz w:val="18"/>
          <w:szCs w:val="18"/>
          <w:color w:val="auto"/>
        </w:rPr>
        <w:t>co-founded Pony in 2016 and currently serves as a Director and our Chief Technology Officer. Prior to co-founding Pony, Dr. Lou worked at Quora and Baidu (Nasdaq: BIDU, HKEX: 9888). At Baidu, he was recognized as the youngest Principal Engineer. Prior to that, Dr. Lou worked as an engineer at Alphabet Inc. (Nasdaq: GOOGL, GOOG) from 2012 to 2016 and joined their autonomous driving unit in his last year there. Dr. Lou holds a bachelor’s degree in computer science and a Ph.D. degree in computer science from Tsinghua University. Dr. Lou is well-known as a top computer programmer, who is a 16-year medalist of the TopCoder competitions and 2-time champion of the global programming competition Google Code Jam.</w:t>
      </w:r>
    </w:p>
    <w:p>
      <w:pPr>
        <w:spacing w:after="0" w:line="142"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Mr. Fei Zhang </w:t>
      </w:r>
      <w:r>
        <w:rPr>
          <w:rFonts w:ascii="Times New Roman" w:cs="Times New Roman" w:eastAsia="Times New Roman" w:hAnsi="Times New Roman"/>
          <w:sz w:val="18"/>
          <w:szCs w:val="18"/>
          <w:color w:val="auto"/>
        </w:rPr>
        <w:t>joined Pony in 2017 and currently serves as our director. Currently, Mr. Zhang is also the non-executive director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Kuaishou Technology (HKEX: 01024, 81024), and is primarily responsible for participating in the formulation of business plans and strategic and major decisions therein. Mr. Zhang has over 20 years of venture capital experience, with a focus in the areas of AI/cloud computing, social/digital media and entertainment, and electric vehicle/autonomous driving. He was a partner at Ceyuan Ventures in Beijing from 2004 to 2007, where he set up and managed a venture fund and led investments in multiple portfolios. Since January 2011, Mr. Zhang was a partner of 5Y Capital (formerly known as Morningside Venture Capital). Around 2016, he founded and has been a fund manager and the responsible officer of Neumann Advisory Hong Kong Limited, a SFC Type 9 licensed corporation. Mr. Zhang received a bachelor’s degree of engineering in automation and control from the Shanghai Jiao Tong University in July 1994, and an MBA degree from the China Europe International Business School in May 1999.</w:t>
      </w:r>
    </w:p>
    <w:p>
      <w:pPr>
        <w:spacing w:after="0" w:line="148" w:lineRule="exact"/>
        <w:rPr>
          <w:sz w:val="20"/>
          <w:szCs w:val="20"/>
          <w:color w:val="auto"/>
        </w:rPr>
      </w:pPr>
    </w:p>
    <w:p>
      <w:pPr>
        <w:ind w:right="40" w:firstLine="32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Mr. Takeo Hamada </w:t>
      </w:r>
      <w:r>
        <w:rPr>
          <w:rFonts w:ascii="Times New Roman" w:cs="Times New Roman" w:eastAsia="Times New Roman" w:hAnsi="Times New Roman"/>
          <w:sz w:val="18"/>
          <w:szCs w:val="18"/>
          <w:color w:val="auto"/>
        </w:rPr>
        <w:t>joined Pony in 2023 and currently serves as our director. He acts as the executive vice president of Toyota Motor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(China) Investment Co., Ltd. (“TMCI”), and the project manager of Toyota Motor Corporation (“TMC”) (NYSE: TM) currently.</w:t>
      </w:r>
    </w:p>
    <w:p>
      <w:pPr>
        <w:ind w:right="180"/>
        <w:spacing w:after="0" w:line="253" w:lineRule="auto"/>
        <w:rPr>
          <w:sz w:val="20"/>
          <w:szCs w:val="20"/>
          <w:color w:val="auto"/>
        </w:rPr>
      </w:pPr>
      <w:r>
        <w:rPr>
          <w:rFonts w:ascii="Times New Roman" w:cs="Times New Roman" w:eastAsia="Times New Roman" w:hAnsi="Times New Roman"/>
          <w:sz w:val="18"/>
          <w:szCs w:val="18"/>
          <w:color w:val="auto"/>
        </w:rPr>
        <w:t>Mr. Hamada joined TMC in April 1991. From January 2012 to January 2015, he was dispatched to Toyota Motor North America, Inc. Upon his return in January 2015, Mr. Hamada joined IVI system development division, where he was promoted to the general manager in April 2016. In January 2021, he became the general manager of the connected management division. Mr. Hamada got his bachelor’s degree from Kobe University in 1991.</w:t>
      </w:r>
    </w:p>
    <w:p>
      <w:pPr>
        <w:spacing w:after="0" w:line="160"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Dr. Haojun Wang </w:t>
      </w:r>
      <w:r>
        <w:rPr>
          <w:rFonts w:ascii="Times New Roman" w:cs="Times New Roman" w:eastAsia="Times New Roman" w:hAnsi="Times New Roman"/>
          <w:sz w:val="18"/>
          <w:szCs w:val="18"/>
          <w:color w:val="auto"/>
        </w:rPr>
        <w:t>joined Pony in 2016 and currently serves as our Chief Financial Officer. He also heads our human resources team.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 is responsible for our corporate financing transactions and oversees our financial planning and management matters. Prior to joining Pony, Dr. Wang worked at Baidu (Nasdaq: BIDU, HKEX: 9888) as a software architect and then a senior software architect from 2014 to 2016. Prior to that, Dr. Wang worked at IBM (NYSE: IBM) as an advisory software engineer from 2009 to 2014 and worked at Shanghai Online as software engineer from 1998 to 2001. Dr. Wang holds a bachelor’s degree in information engineering from Shanghai Jiao Tong University and a Ph.D. in computer science from University of Southern California.</w:t>
      </w:r>
    </w:p>
    <w:p>
      <w:pPr>
        <w:sectPr>
          <w:pgSz w:w="11900" w:h="16838" w:orient="portrait"/>
          <w:cols w:equalWidth="0" w:num="1">
            <w:col w:w="9920"/>
          </w:cols>
          <w:pgMar w:left="980" w:top="513" w:right="99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Mr. Ning Zhang </w:t>
      </w:r>
      <w:r>
        <w:rPr>
          <w:rFonts w:ascii="Times New Roman" w:cs="Times New Roman" w:eastAsia="Times New Roman" w:hAnsi="Times New Roman"/>
          <w:sz w:val="18"/>
          <w:szCs w:val="18"/>
          <w:color w:val="auto"/>
        </w:rPr>
        <w:t>has served as our vice president since 2017. Mr. Zhang currently serves as our vice president, general manager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Beijing R&amp;D Center and head of our autonomous driving system. Prior to joining Pony, Mr. Zhang worked at Alphabet Inc. (Nasdaq: GOOGL, GOOG) as an engineer from 2014 to 2017. He studied under the tutelage of Academician Yao Qizhi (the only Turing Award winner in China), and was a member of the first Yao Class of Tsinghua University. He received a bachelor’s degree in computer science from Tsinghua University and a master’s degree in computer science from the University of Waterloo in Canada.</w:t>
      </w:r>
    </w:p>
    <w:p>
      <w:pPr>
        <w:spacing w:after="0" w:line="143" w:lineRule="exact"/>
        <w:rPr>
          <w:sz w:val="20"/>
          <w:szCs w:val="20"/>
          <w:color w:val="auto"/>
        </w:rPr>
      </w:pPr>
    </w:p>
    <w:p>
      <w:pPr>
        <w:ind w:right="20" w:firstLine="324"/>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Dr. Luyi Mo </w:t>
      </w:r>
      <w:r>
        <w:rPr>
          <w:rFonts w:ascii="Times New Roman" w:cs="Times New Roman" w:eastAsia="Times New Roman" w:hAnsi="Times New Roman"/>
          <w:sz w:val="18"/>
          <w:szCs w:val="18"/>
          <w:color w:val="auto"/>
        </w:rPr>
        <w:t>joined Pony in 2018 and currently serves as our vice president. She is responsible for overseeing our Guangzhou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Shenzhen offices as well as our robotaxi service and operation. Prior to joining Pony, Dr. Mo worked as a senior software engineer at NetEase (Nasdaq: NTES, HKEX: 9999), specializing in game engine development. Dr. Mo holds a bachelor’s degree in mathematics from Zhejiang University and a Ph.D. degree in computer science from the University of Hong Kong. During her university time, Dr. Mo received world champion at the 35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Annual ACM International Collegiate Programming Contest World Finals in 2011, making her the first female world champion from China since 1977.</w:t>
      </w:r>
    </w:p>
    <w:p>
      <w:pPr>
        <w:spacing w:after="0" w:line="160"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Mr. Jackson Tai </w:t>
      </w:r>
      <w:r>
        <w:rPr>
          <w:rFonts w:ascii="Times New Roman" w:cs="Times New Roman" w:eastAsia="Times New Roman" w:hAnsi="Times New Roman"/>
          <w:sz w:val="18"/>
          <w:szCs w:val="18"/>
          <w:color w:val="auto"/>
        </w:rPr>
        <w:t>has served as our independent director since November 2024. Currently, Mr. Tai serves as the non-executive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WuXi Biologics (HKEX: 2269), SEED Therapeutics and Novita Pharmaceutical since 2023. From 2008 to 2023, Mr. Tai held various director positions in Eli Lilly and Company (NYSE: LLY), HSBC Holdings plc (NYSE: HSBC, LSEG: HSBA, HKEX: 0005) and Mastercard Incorporated (NYSE: MA). Prior to that, Mr. Tai joined DBS Bank Limited as the chief financial officer in July 1999, and served as the vice chairman and chief executive officer of both DBS Group Holdings Limited and DBS Bank Limited from June 2002 to December 2007. Prior to that, Mr. Tai was an investment banker with J.P. Morgan &amp; Co. Incorporated from 1974 to 1999. Mr. Tai received a Bachelor of Science degree from Rensselaer Polytechnic Institute in 1972, and an MBA from Harvard University in 1974.</w:t>
      </w:r>
    </w:p>
    <w:p>
      <w:pPr>
        <w:spacing w:after="0" w:line="15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Dr. Mark Qiu </w:t>
      </w:r>
      <w:r>
        <w:rPr>
          <w:rFonts w:ascii="Times New Roman" w:cs="Times New Roman" w:eastAsia="Times New Roman" w:hAnsi="Times New Roman"/>
          <w:sz w:val="18"/>
          <w:szCs w:val="18"/>
          <w:color w:val="auto"/>
        </w:rPr>
        <w:t>has served as our independent director since November 2024. Currently, Dr. Qiu is the chief executive officer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founding managing partner of China Renaissance Capital Investment. Prior to that, Dr. Qiu joined the CNOOC (HKEX: 0883, SSE: 600938) in 2001, and served as the chief financial officer and senior vice president. From 1998 to 2000, Dr. Qiu was with Salomon Smith Barney, last as the head of its Asia oil and gas investment banking group. From 1993 to 1997, Dr. Qiu held various positions with Atlantic Richfield Corporation. From 1990 to 1993, Dr. Qiu served as a staff consultant with RHR International. Dr. Qiu received a Bachelor of Science degree from Hangzhou University in 1984, a Master of Science in decision science from the University of Texas at Arlington in 1987, a Doctor of Philosophy in decision science from the same institution in 1990, and an MBA from the Massachusetts Institute of Technology in 1998.</w:t>
      </w:r>
    </w:p>
    <w:p>
      <w:pPr>
        <w:spacing w:after="0" w:line="18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Ms. Asmau Ahmed </w:t>
      </w:r>
      <w:r>
        <w:rPr>
          <w:rFonts w:ascii="Times New Roman" w:cs="Times New Roman" w:eastAsia="Times New Roman" w:hAnsi="Times New Roman"/>
          <w:sz w:val="18"/>
          <w:szCs w:val="18"/>
          <w:color w:val="auto"/>
        </w:rPr>
        <w:t>has served as our independent director since November 2024. Ms. Ahmed currently serves as the director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QuinStreet, Inc (Nasdaq: QNST) since July 2021 and of blackcomputeHER since July 2018. Previously, Ms. Ahmed served as a managing director at Alphabet Inc. (Nasdaq: GOOGL, GOOG) from July 2021 to April 2024. From September 2018 to July 2021, Ms. Ahmed served as an SVP/managing director at Bank of America. From September 2016 to August 2018, Ms. Ahmed served as a digital product executive at Capital One (NYSE: COF). From January 2012 to December 2017, Ms. Ahmed was a founder, chief executive officer, and board member at Plum Perfect. From September 2006 to November 2012, Ms. Ahmed served as a management consultant at Deloitte. She has also been a member of the board of advisors of the Yale Entrepreneurial Society. Ms. Ahmed received a bachelor’s degree from the University of Virginia and an MBA from Columbia Business School.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6.B. Compensation</w:t>
      </w:r>
    </w:p>
    <w:p>
      <w:pPr>
        <w:spacing w:after="0" w:line="18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the aggregate amount of remuneration (excluding share-based compensation expenses) for our then directors and executive officers was US$7.3 million. We have not set aside or accrued any amount to provide for pension, retirement or other similar benefits to our directors and executive officers. For equity incentive grants to our directors and executive officers, see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Equity Incentive Plans.”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8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Each of our executive officers is employed for a specified time period, which can be renewed upon both parties’ agreement before the end of the current employment term. We may terminate an executive officer’s employment by giving a prior written notice or by paying certain compensation. An executive officer may terminate his or her employment at any time by giving a prior written notice.</w:t>
      </w:r>
    </w:p>
    <w:p>
      <w:pPr>
        <w:spacing w:after="0" w:line="13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Each executive officer has agreed to hold, unless expressly consented to by us, at all times during and after the termination of his or her employment agreement, in strict confidence and not to use, any of our confidential information or the confidential information of our customers and suppliers. In addition, each executive officer has agreed to be bound by certain non-competition and non-solicitation restrictions during the term of his or her employment and for two years following the last date of employment.</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Share Plan</w:t>
      </w:r>
    </w:p>
    <w:p>
      <w:pPr>
        <w:spacing w:after="0" w:line="20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adopted an employee equity incentive plan (the “2016 Share Plan”) in November 2016. The purpose of the 2016 Share Plan is to enable us to grant equity awards to selected participants as incentives or rewards for their contribution to our group, in particular, (i) to motivate them to optimize their performance and efficiency for the benefit of our group; (ii) to attract and retain them whose contributions are or will be beneficial to our group; and (iii) to encourage them to enhance cooperation and communication amongst team members for the growth of our group. The maximum number of ordinary shares that may be issued pursuant to equity awards granted under the 2016 Share Plan is 58,427,257, subject to certain adjustments pursuant to the terms of the 2016 Share Plan.</w:t>
      </w:r>
    </w:p>
    <w:p>
      <w:pPr>
        <w:spacing w:after="0" w:line="14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awards with options to purchase a total of 1,621,005 share options and 8,159,605 restricted share units corresponding to a total of 9,780,610 underlying Class A ordinary shares had been granted and are outstanding under the 2016 Share Plan, among which 1,520,090 share options and 708 restricted share units had become vested. The 2016 Share Plan does not involve any further grant of awards by the Company after the Listing.</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paragraphs summarize the terms of the 2016 Share Plan.</w:t>
      </w:r>
    </w:p>
    <w:p>
      <w:pPr>
        <w:spacing w:after="0" w:line="221" w:lineRule="exact"/>
        <w:rPr>
          <w:sz w:val="20"/>
          <w:szCs w:val="20"/>
          <w:color w:val="auto"/>
        </w:rPr>
      </w:pPr>
    </w:p>
    <w:p>
      <w:pPr>
        <w:ind w:right="2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Types of Awards. </w:t>
      </w:r>
      <w:r>
        <w:rPr>
          <w:rFonts w:ascii="Times New Roman" w:cs="Times New Roman" w:eastAsia="Times New Roman" w:hAnsi="Times New Roman"/>
          <w:sz w:val="18"/>
          <w:szCs w:val="18"/>
          <w:color w:val="auto"/>
        </w:rPr>
        <w:t>The 2016 Share Plan permits the direct award or sale of shares and the grant of options to purchase shares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restricted share units. Options may be ISOs (as described in Code Section 422(b)) intended to qualify under Code Section 422 or non-statutory options not intended to so qualify.</w:t>
      </w:r>
    </w:p>
    <w:p>
      <w:pPr>
        <w:spacing w:after="0" w:line="171" w:lineRule="exact"/>
        <w:rPr>
          <w:sz w:val="20"/>
          <w:szCs w:val="20"/>
          <w:color w:val="auto"/>
        </w:rPr>
      </w:pPr>
    </w:p>
    <w:p>
      <w:pPr>
        <w:ind w:right="2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Plan Administration. </w:t>
      </w:r>
      <w:r>
        <w:rPr>
          <w:rFonts w:ascii="Times New Roman" w:cs="Times New Roman" w:eastAsia="Times New Roman" w:hAnsi="Times New Roman"/>
          <w:sz w:val="18"/>
          <w:szCs w:val="18"/>
          <w:color w:val="auto"/>
        </w:rPr>
        <w:t>The 2016 Share Plan shall be administered by one or more committees and each committee shall consist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one or more members of the Board who have been appointed by the Board.</w:t>
      </w:r>
    </w:p>
    <w:p>
      <w:pPr>
        <w:spacing w:after="0" w:line="155" w:lineRule="exact"/>
        <w:rPr>
          <w:sz w:val="20"/>
          <w:szCs w:val="20"/>
          <w:color w:val="auto"/>
        </w:rPr>
      </w:pPr>
    </w:p>
    <w:p>
      <w:pPr>
        <w:ind w:right="20" w:firstLine="324"/>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Eligibility. </w:t>
      </w:r>
      <w:r>
        <w:rPr>
          <w:rFonts w:ascii="Times New Roman" w:cs="Times New Roman" w:eastAsia="Times New Roman" w:hAnsi="Times New Roman"/>
          <w:sz w:val="17"/>
          <w:szCs w:val="17"/>
          <w:color w:val="auto"/>
        </w:rPr>
        <w:t>Only employees, outside directors and consultants shall be eligible for the grant of non- statutory options, restricted share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units or the direct award or sale of shares. Only employees and certain other qualified persons shall be eligible for the grant of ISOs.</w:t>
      </w:r>
    </w:p>
    <w:p>
      <w:pPr>
        <w:spacing w:after="0" w:line="132"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Grant or Purchase Agreement. </w:t>
      </w:r>
      <w:r>
        <w:rPr>
          <w:rFonts w:ascii="Times New Roman" w:cs="Times New Roman" w:eastAsia="Times New Roman" w:hAnsi="Times New Roman"/>
          <w:sz w:val="18"/>
          <w:szCs w:val="18"/>
          <w:color w:val="auto"/>
        </w:rPr>
        <w:t>Under the 2016 Share Plan, each award of shares shall be evidenced by a share grant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between the grantee and our company, and each sale of shares shall be evidenced by a share purchase agreement between the purchaser and our company. Such award or sale shall be subject to all applicable terms and conditions which are not inconsistent with the 2016 Share Plan and which the board of directors deems appropriate for inclusion in a share grant agreement or share purchase agreement. The provisions of the various share grant agreements and share purchase agreements entered into under the 2016 Share Plan need not be identical.</w:t>
      </w:r>
    </w:p>
    <w:p>
      <w:pPr>
        <w:spacing w:after="0" w:line="142"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Option Agreement. </w:t>
      </w:r>
      <w:r>
        <w:rPr>
          <w:rFonts w:ascii="Times New Roman" w:cs="Times New Roman" w:eastAsia="Times New Roman" w:hAnsi="Times New Roman"/>
          <w:sz w:val="18"/>
          <w:szCs w:val="18"/>
          <w:color w:val="auto"/>
        </w:rPr>
        <w:t>Each grant of an option under the 2016 Share Plan shall be evidenced by a share option agreement between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optionee and our company. The option shall be subject to all applicable terms and conditions of the 2016 Share Plan and may be subject to any other terms and conditions that are not inconsistent with the 2016 Share Plan and that the board of directors deems appropriate for inclusion in a share option agreement. An optionee, or a transferee of an optionee, shall have no rights as a shareholder with respect to any Shares covered by the optionee’s option until such person becomes entitled to receive such Shares by filing a notice of exercise and paying the exercise price pursuant to the terms of such option.</w:t>
      </w:r>
    </w:p>
    <w:p>
      <w:pPr>
        <w:spacing w:after="0" w:line="155" w:lineRule="exact"/>
        <w:rPr>
          <w:sz w:val="20"/>
          <w:szCs w:val="20"/>
          <w:color w:val="auto"/>
        </w:rPr>
      </w:pPr>
    </w:p>
    <w:p>
      <w:pPr>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for Shares. </w:t>
      </w:r>
      <w:r>
        <w:rPr>
          <w:rFonts w:ascii="Times New Roman" w:cs="Times New Roman" w:eastAsia="Times New Roman" w:hAnsi="Times New Roman"/>
          <w:sz w:val="18"/>
          <w:szCs w:val="18"/>
          <w:color w:val="auto"/>
        </w:rPr>
        <w:t>The entire purchase price or exercise price of shares issued under the 2016 Share Plan shall be payable in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cash equivalents at the time when such Shares are purchased, except as otherwise provided. In addition, the Board in its sole discretion may also permit payment through any of the methods: (i) services rendered, (ii) promissory note, (iii) surrender of shares, (iv) exercise/sale, (v) net exercise, and (vi) other forms of payment.</w:t>
      </w:r>
    </w:p>
    <w:p>
      <w:pPr>
        <w:spacing w:after="0" w:line="13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Restricted Share Unit Award Agreement. </w:t>
      </w:r>
      <w:r>
        <w:rPr>
          <w:rFonts w:ascii="Times New Roman" w:cs="Times New Roman" w:eastAsia="Times New Roman" w:hAnsi="Times New Roman"/>
          <w:sz w:val="17"/>
          <w:szCs w:val="17"/>
          <w:color w:val="auto"/>
        </w:rPr>
        <w:t>Under the 2016 Share Plan, each award of restricted share unit award shall be evidenced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by a restricted share unit award agreement between the grantee and our company. Each restricted share unit award may or may not be subject to vesting, as determined by the Board in its sole discretion. Vesting shall occur, in full or in installments, upon satisfaction of the conditions specified in the restricted share unit award agreement. The holders of restricted share unit awards shall have no voting rights.</w:t>
      </w:r>
    </w:p>
    <w:p>
      <w:pPr>
        <w:sectPr>
          <w:pgSz w:w="11900" w:h="16838" w:orient="portrait"/>
          <w:cols w:equalWidth="0" w:num="1">
            <w:col w:w="9900"/>
          </w:cols>
          <w:pgMar w:left="980" w:top="513" w:right="101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2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Settlement of Restricted Share Unit Awards. </w:t>
      </w:r>
      <w:r>
        <w:rPr>
          <w:rFonts w:ascii="Times New Roman" w:cs="Times New Roman" w:eastAsia="Times New Roman" w:hAnsi="Times New Roman"/>
          <w:sz w:val="18"/>
          <w:szCs w:val="18"/>
          <w:color w:val="auto"/>
        </w:rPr>
        <w:t>Settlement of any vested restricted share unit award may be made in the form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(b) cash or (c) any combination of both, as determined by the Board in its sole discretion. The actual number of restricted share units eligible for settlement may be larger or smaller than the number included in the original restricted share unit award, based on predetermined performance factors. Methods of converting restricted share units into cash may include (without limitation) a method based on the average fair market value of a share over a series of trading days.</w:t>
      </w:r>
    </w:p>
    <w:p>
      <w:pPr>
        <w:spacing w:after="0" w:line="13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Suspension or Termination of the 2016 Share Plan. </w:t>
      </w:r>
      <w:r>
        <w:rPr>
          <w:rFonts w:ascii="Times New Roman" w:cs="Times New Roman" w:eastAsia="Times New Roman" w:hAnsi="Times New Roman"/>
          <w:sz w:val="18"/>
          <w:szCs w:val="18"/>
          <w:color w:val="auto"/>
        </w:rPr>
        <w:t>The board of directors may amend, suspend or terminate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2016 Share Plan at any time and for any reason, except that to the extent required by applicable law, any amendment of the 2016 Share Plan will be subject to the approval of our company’s shareholders within 12 months of the amendment date if it (i) increases the number of shares available for issuance (unless otherwise provided under the 2016 Share Plan), or (ii) materially changes the class of persons who are eligible for the grant of ISOs. In addition, an amendment effecting any other material change to the term of the 2016 Share Plan will be subject to approval of our company’s shareholders only if required by applicable law. Shareholder approval shall not be required for any other amendment of the 2016 Share Plan.</w:t>
      </w:r>
    </w:p>
    <w:p>
      <w:pPr>
        <w:spacing w:after="0" w:line="187"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as of December 31, 2025, the number of Class A ordinary shares underlying options, restricted share units and other equity awards that we granted to our current directors and executive officers and are outstanding under the 2016 Share Plan: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Class A Ordinary</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Underlying</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 or</w:t>
            </w:r>
          </w:p>
        </w:tc>
        <w:tc>
          <w:tcPr>
            <w:tcW w:w="1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or Restricted</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60" w:type="dxa"/>
            <w:vAlign w:val="bottom"/>
          </w:tcPr>
          <w:p>
            <w:pPr>
              <w:spacing w:after="0"/>
              <w:rPr>
                <w:sz w:val="12"/>
                <w:szCs w:val="12"/>
                <w:color w:val="auto"/>
              </w:rPr>
            </w:pPr>
          </w:p>
        </w:tc>
        <w:tc>
          <w:tcPr>
            <w:tcW w:w="210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140" w:type="dxa"/>
            <w:vAlign w:val="bottom"/>
          </w:tcPr>
          <w:p>
            <w:pPr>
              <w:spacing w:after="0"/>
              <w:rPr>
                <w:sz w:val="12"/>
                <w:szCs w:val="12"/>
                <w:color w:val="auto"/>
              </w:rPr>
            </w:pPr>
          </w:p>
        </w:tc>
        <w:tc>
          <w:tcPr>
            <w:tcW w:w="21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Date of Expiration</w:t>
            </w:r>
          </w:p>
        </w:tc>
        <w:tc>
          <w:tcPr>
            <w:tcW w:w="0" w:type="dxa"/>
            <w:vAlign w:val="bottom"/>
          </w:tcPr>
          <w:p>
            <w:pPr>
              <w:spacing w:after="0"/>
              <w:rPr>
                <w:sz w:val="1"/>
                <w:szCs w:val="1"/>
                <w:color w:val="auto"/>
              </w:rPr>
            </w:pPr>
          </w:p>
        </w:tc>
      </w:tr>
      <w:tr>
        <w:trPr>
          <w:trHeight w:val="173"/>
        </w:trPr>
        <w:tc>
          <w:tcPr>
            <w:tcW w:w="27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(US$/Share)</w:t>
            </w:r>
          </w:p>
        </w:tc>
        <w:tc>
          <w:tcPr>
            <w:tcW w:w="160" w:type="dxa"/>
            <w:vAlign w:val="bottom"/>
            <w:tcBorders>
              <w:bottom w:val="single" w:sz="8" w:color="CCEEFF"/>
            </w:tcBorders>
          </w:tcPr>
          <w:p>
            <w:pPr>
              <w:spacing w:after="0"/>
              <w:rPr>
                <w:sz w:val="15"/>
                <w:szCs w:val="15"/>
                <w:color w:val="auto"/>
              </w:rPr>
            </w:pPr>
          </w:p>
        </w:tc>
        <w:tc>
          <w:tcPr>
            <w:tcW w:w="21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Jun Peng</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2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Dr. Tiancheng Lou</w:t>
            </w:r>
          </w:p>
        </w:tc>
        <w:tc>
          <w:tcPr>
            <w:tcW w:w="162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9"/>
              </w:rPr>
              <w:t>354,167</w:t>
            </w:r>
          </w:p>
        </w:tc>
        <w:tc>
          <w:tcPr>
            <w:tcW w:w="160" w:type="dxa"/>
            <w:vAlign w:val="bottom"/>
          </w:tcPr>
          <w:p>
            <w:pPr>
              <w:spacing w:after="0"/>
              <w:rPr>
                <w:sz w:val="18"/>
                <w:szCs w:val="18"/>
                <w:color w:val="auto"/>
              </w:rPr>
            </w:pPr>
          </w:p>
        </w:tc>
        <w:tc>
          <w:tcPr>
            <w:tcW w:w="90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color w:val="auto"/>
                <w:vertAlign w:val="subscript"/>
              </w:rPr>
              <w:t>N/A</w:t>
            </w:r>
            <w:r>
              <w:rPr>
                <w:rFonts w:ascii="Times New Roman" w:cs="Times New Roman" w:eastAsia="Times New Roman" w:hAnsi="Times New Roman"/>
                <w:sz w:val="11"/>
                <w:szCs w:val="11"/>
                <w:color w:val="auto"/>
              </w:rPr>
              <w:t>(1)</w:t>
            </w:r>
          </w:p>
        </w:tc>
        <w:tc>
          <w:tcPr>
            <w:tcW w:w="1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December 4, 2024</w:t>
            </w:r>
          </w:p>
        </w:tc>
        <w:tc>
          <w:tcPr>
            <w:tcW w:w="14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December 3, 2034</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Fei Zhang</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2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Mr. Takeo Hamada</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2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Haojun Wang</w:t>
            </w:r>
          </w:p>
        </w:tc>
        <w:tc>
          <w:tcPr>
            <w:tcW w:w="162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115,517</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US$0.0005</w:t>
            </w:r>
          </w:p>
        </w:tc>
        <w:tc>
          <w:tcPr>
            <w:tcW w:w="1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5, 2016</w:t>
            </w:r>
          </w:p>
        </w:tc>
        <w:tc>
          <w:tcPr>
            <w:tcW w:w="1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4, 2026</w:t>
            </w: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auto"/>
                <w:w w:val="83"/>
                <w:vertAlign w:val="subscript"/>
              </w:rPr>
              <w:t>N/A</w:t>
            </w:r>
            <w:r>
              <w:rPr>
                <w:rFonts w:ascii="Times New Roman" w:cs="Times New Roman" w:eastAsia="Times New Roman" w:hAnsi="Times New Roman"/>
                <w:sz w:val="13"/>
                <w:szCs w:val="13"/>
                <w:color w:val="auto"/>
                <w:w w:val="83"/>
              </w:rPr>
              <w:t>(1)</w:t>
            </w:r>
          </w:p>
        </w:tc>
        <w:tc>
          <w:tcPr>
            <w:tcW w:w="160" w:type="dxa"/>
            <w:vAlign w:val="bottom"/>
          </w:tcPr>
          <w:p>
            <w:pPr>
              <w:spacing w:after="0"/>
              <w:rPr>
                <w:sz w:val="17"/>
                <w:szCs w:val="17"/>
                <w:color w:val="auto"/>
              </w:rPr>
            </w:pPr>
          </w:p>
        </w:tc>
        <w:tc>
          <w:tcPr>
            <w:tcW w:w="2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Various dates from May 15,</w:t>
            </w:r>
          </w:p>
        </w:tc>
        <w:tc>
          <w:tcPr>
            <w:tcW w:w="140" w:type="dxa"/>
            <w:vAlign w:val="bottom"/>
          </w:tcPr>
          <w:p>
            <w:pPr>
              <w:spacing w:after="0"/>
              <w:rPr>
                <w:sz w:val="17"/>
                <w:szCs w:val="17"/>
                <w:color w:val="auto"/>
              </w:rPr>
            </w:pPr>
          </w:p>
        </w:tc>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Various dates from May 14,</w:t>
            </w: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p>
        </w:tc>
        <w:tc>
          <w:tcPr>
            <w:tcW w:w="162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9"/>
              </w:rPr>
              <w:t>350,969</w:t>
            </w:r>
          </w:p>
        </w:tc>
        <w:tc>
          <w:tcPr>
            <w:tcW w:w="1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2023 to December 4, 2024</w:t>
            </w:r>
          </w:p>
        </w:tc>
        <w:tc>
          <w:tcPr>
            <w:tcW w:w="14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2033 to December 3, 2034</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Ning Zhang</w:t>
            </w:r>
          </w:p>
        </w:tc>
        <w:tc>
          <w:tcPr>
            <w:tcW w:w="162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10,417</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US$0.82</w:t>
            </w:r>
          </w:p>
        </w:tc>
        <w:tc>
          <w:tcPr>
            <w:tcW w:w="1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18, 2019</w:t>
            </w:r>
          </w:p>
        </w:tc>
        <w:tc>
          <w:tcPr>
            <w:tcW w:w="1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17, 2029</w:t>
            </w: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9"/>
              </w:rPr>
              <w:t>N/A</w:t>
            </w:r>
            <w:r>
              <w:rPr>
                <w:rFonts w:ascii="Times New Roman" w:cs="Times New Roman" w:eastAsia="Times New Roman" w:hAnsi="Times New Roman"/>
                <w:sz w:val="26"/>
                <w:szCs w:val="26"/>
                <w:color w:val="auto"/>
                <w:w w:val="89"/>
                <w:vertAlign w:val="superscript"/>
              </w:rPr>
              <w:t>(1)</w:t>
            </w:r>
          </w:p>
        </w:tc>
        <w:tc>
          <w:tcPr>
            <w:tcW w:w="160" w:type="dxa"/>
            <w:vAlign w:val="bottom"/>
          </w:tcPr>
          <w:p>
            <w:pPr>
              <w:spacing w:after="0"/>
              <w:rPr>
                <w:sz w:val="17"/>
                <w:szCs w:val="17"/>
                <w:color w:val="auto"/>
              </w:rPr>
            </w:pPr>
          </w:p>
        </w:tc>
        <w:tc>
          <w:tcPr>
            <w:tcW w:w="2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Various dates from May 28,</w:t>
            </w:r>
          </w:p>
        </w:tc>
        <w:tc>
          <w:tcPr>
            <w:tcW w:w="140" w:type="dxa"/>
            <w:vAlign w:val="bottom"/>
          </w:tcPr>
          <w:p>
            <w:pPr>
              <w:spacing w:after="0"/>
              <w:rPr>
                <w:sz w:val="17"/>
                <w:szCs w:val="17"/>
                <w:color w:val="auto"/>
              </w:rPr>
            </w:pPr>
          </w:p>
        </w:tc>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Various dates from May 27,</w:t>
            </w: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p>
        </w:tc>
        <w:tc>
          <w:tcPr>
            <w:tcW w:w="162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9"/>
              </w:rPr>
              <w:t>324,669</w:t>
            </w:r>
          </w:p>
        </w:tc>
        <w:tc>
          <w:tcPr>
            <w:tcW w:w="1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2021 to December 4, 2024</w:t>
            </w:r>
          </w:p>
        </w:tc>
        <w:tc>
          <w:tcPr>
            <w:tcW w:w="14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2031 to December 3, 2034</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Luyi Mo</w:t>
            </w:r>
          </w:p>
        </w:tc>
        <w:tc>
          <w:tcPr>
            <w:tcW w:w="162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13,334</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US$1.65</w:t>
            </w:r>
          </w:p>
        </w:tc>
        <w:tc>
          <w:tcPr>
            <w:tcW w:w="1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23, 2020</w:t>
            </w:r>
          </w:p>
        </w:tc>
        <w:tc>
          <w:tcPr>
            <w:tcW w:w="1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22, 2030</w:t>
            </w: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9"/>
              </w:rPr>
              <w:t>N/A</w:t>
            </w:r>
            <w:r>
              <w:rPr>
                <w:rFonts w:ascii="Times New Roman" w:cs="Times New Roman" w:eastAsia="Times New Roman" w:hAnsi="Times New Roman"/>
                <w:sz w:val="26"/>
                <w:szCs w:val="26"/>
                <w:color w:val="auto"/>
                <w:w w:val="89"/>
                <w:vertAlign w:val="superscript"/>
              </w:rPr>
              <w:t>(1)</w:t>
            </w:r>
          </w:p>
        </w:tc>
        <w:tc>
          <w:tcPr>
            <w:tcW w:w="160" w:type="dxa"/>
            <w:vAlign w:val="bottom"/>
          </w:tcPr>
          <w:p>
            <w:pPr>
              <w:spacing w:after="0"/>
              <w:rPr>
                <w:sz w:val="17"/>
                <w:szCs w:val="17"/>
                <w:color w:val="auto"/>
              </w:rPr>
            </w:pPr>
          </w:p>
        </w:tc>
        <w:tc>
          <w:tcPr>
            <w:tcW w:w="2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Various dates from May 28,</w:t>
            </w:r>
          </w:p>
        </w:tc>
        <w:tc>
          <w:tcPr>
            <w:tcW w:w="140" w:type="dxa"/>
            <w:vAlign w:val="bottom"/>
          </w:tcPr>
          <w:p>
            <w:pPr>
              <w:spacing w:after="0"/>
              <w:rPr>
                <w:sz w:val="17"/>
                <w:szCs w:val="17"/>
                <w:color w:val="auto"/>
              </w:rPr>
            </w:pPr>
          </w:p>
        </w:tc>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Various dates from May 27,</w:t>
            </w:r>
          </w:p>
        </w:tc>
        <w:tc>
          <w:tcPr>
            <w:tcW w:w="0" w:type="dxa"/>
            <w:vAlign w:val="bottom"/>
          </w:tcPr>
          <w:p>
            <w:pPr>
              <w:spacing w:after="0"/>
              <w:rPr>
                <w:sz w:val="1"/>
                <w:szCs w:val="1"/>
                <w:color w:val="auto"/>
              </w:rPr>
            </w:pPr>
          </w:p>
        </w:tc>
      </w:tr>
      <w:tr>
        <w:trPr>
          <w:trHeight w:val="234"/>
        </w:trPr>
        <w:tc>
          <w:tcPr>
            <w:tcW w:w="2720" w:type="dxa"/>
            <w:vAlign w:val="bottom"/>
          </w:tcPr>
          <w:p>
            <w:pPr>
              <w:spacing w:after="0"/>
              <w:rPr>
                <w:sz w:val="20"/>
                <w:szCs w:val="20"/>
                <w:color w:val="auto"/>
              </w:rPr>
            </w:pPr>
          </w:p>
        </w:tc>
        <w:tc>
          <w:tcPr>
            <w:tcW w:w="162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9"/>
              </w:rPr>
              <w:t>260,850</w:t>
            </w:r>
          </w:p>
        </w:tc>
        <w:tc>
          <w:tcPr>
            <w:tcW w:w="1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2021 to December 4, 2024</w:t>
            </w:r>
          </w:p>
        </w:tc>
        <w:tc>
          <w:tcPr>
            <w:tcW w:w="14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2031 to December 3, 2034</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Jackson Peter Tai</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2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Dr. Mark Qiu</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2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 Asmau Ahmed</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2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7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directors and executive officers</w:t>
            </w: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as a group</w:t>
            </w:r>
          </w:p>
        </w:tc>
        <w:tc>
          <w:tcPr>
            <w:tcW w:w="16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9"/>
              </w:rPr>
              <w:t>1,429,923</w:t>
            </w:r>
          </w:p>
        </w:tc>
        <w:tc>
          <w:tcPr>
            <w:tcW w:w="1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2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845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w:t>
      </w:r>
    </w:p>
    <w:p>
      <w:pPr>
        <w:spacing w:after="0" w:line="204"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exercise price with respect to restricted share units held by such individual(s).</w:t>
      </w:r>
    </w:p>
    <w:p>
      <w:pPr>
        <w:spacing w:after="0" w:line="20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2025, the total number of Class A ordinary shares underlying the options and restricted share units that we granted to our current directors and executive officers as a group and are outstanding was 1,429,923 under the 2016 Share Plan. As of the same date, our employees and other qualified individuals other than members of our senior management as a group held a total of 1,481,737 outstanding share options and 6,868,950 outstanding restricted share units under the 2016 Share Plan, which will entitle them to acquire 8,350,687 Class A ordinary shares of our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2026 Share Scheme</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adopted a new employee equity incentive scheme (the “2026 Share Scheme”) on April 2, 2026. The purposes of the 2026 Share Scheme are (i) to align the interests of Eligible Persons (as defined in the terms of the 2026 Share Scheme) with those of our group through ownership of Award Shares (as defined in the terms of the 2026 Share Scheme), dividends and other distributions paid on Award Shares and/or the increase in value of the Award Shares; (ii) to recognize and reward Eligible Persons for their contribution to our group; and (iii) to encourage and retain Eligible Persons to make contributions to the long-term development of our group. The maximum number of ordinary shares that may be issued pursuant to equity awards granted under the 2026 Share Scheme is 43,354,155, subject to certain adjustments pursuant to the terms of the 2026 Share Scheme.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paragraphs summarize the terms of the 2026 Share Scheme.</w:t>
      </w:r>
    </w:p>
    <w:p>
      <w:pPr>
        <w:spacing w:after="0" w:line="221"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Types of Awards. </w:t>
      </w:r>
      <w:r>
        <w:rPr>
          <w:rFonts w:ascii="Times New Roman" w:cs="Times New Roman" w:eastAsia="Times New Roman" w:hAnsi="Times New Roman"/>
          <w:sz w:val="18"/>
          <w:szCs w:val="18"/>
          <w:color w:val="auto"/>
        </w:rPr>
        <w:t>The 2026 Share Scheme permits the grant of awards, which may take the form of options, restricted share units,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restricted shares or other share-based incentives as determined by our board of directors or the Scheme Administrator (as defined below) in accordance with the terms of the scheme rules. Such awards may vest in the form of shares or, at the discretion of our board of directors or the Scheme Administrator, in cash based on the actual selling price of the underlying shares.</w:t>
      </w:r>
    </w:p>
    <w:p>
      <w:pPr>
        <w:spacing w:after="0" w:line="176" w:lineRule="exact"/>
        <w:rPr>
          <w:sz w:val="20"/>
          <w:szCs w:val="20"/>
          <w:color w:val="auto"/>
        </w:rPr>
      </w:pPr>
    </w:p>
    <w:p>
      <w:pPr>
        <w:ind w:right="4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Plan Administration. </w:t>
      </w:r>
      <w:r>
        <w:rPr>
          <w:rFonts w:ascii="Times New Roman" w:cs="Times New Roman" w:eastAsia="Times New Roman" w:hAnsi="Times New Roman"/>
          <w:sz w:val="18"/>
          <w:szCs w:val="18"/>
          <w:color w:val="auto"/>
        </w:rPr>
        <w:t>The 2026 Share Scheme shall be administered by the committee of our board of directors or person(s)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our board of directors has delegated its authority (as applicable) to (the “Scheme Administrator”).</w:t>
      </w:r>
    </w:p>
    <w:p>
      <w:pPr>
        <w:spacing w:after="0" w:line="114" w:lineRule="exact"/>
        <w:rPr>
          <w:sz w:val="20"/>
          <w:szCs w:val="20"/>
          <w:color w:val="auto"/>
        </w:rPr>
      </w:pPr>
    </w:p>
    <w:p>
      <w:pPr>
        <w:ind w:right="2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Eligibility. </w:t>
      </w:r>
      <w:r>
        <w:rPr>
          <w:rFonts w:ascii="Times New Roman" w:cs="Times New Roman" w:eastAsia="Times New Roman" w:hAnsi="Times New Roman"/>
          <w:sz w:val="18"/>
          <w:szCs w:val="18"/>
          <w:color w:val="auto"/>
        </w:rPr>
        <w:t>Subject to the terms of the rules of the 2026 Share Scheme, employees, directors, consultants and such other eligible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participants as may be determined by our board of directors or the Scheme Administrator shall be eligible to receive awards under the 2026 Share Scheme.</w:t>
      </w:r>
    </w:p>
    <w:p>
      <w:pPr>
        <w:spacing w:after="0" w:line="130"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Grant or Award Agreement. </w:t>
      </w:r>
      <w:r>
        <w:rPr>
          <w:rFonts w:ascii="Times New Roman" w:cs="Times New Roman" w:eastAsia="Times New Roman" w:hAnsi="Times New Roman"/>
          <w:sz w:val="18"/>
          <w:szCs w:val="18"/>
          <w:color w:val="auto"/>
        </w:rPr>
        <w:t>Under the 2026 Share Scheme, each award shall be evidenced by an award agreement or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documentation between the participant and our Company, in such form as may be approved by our board of directors or the Scheme Administrator. Each award shall be subject to the applicable terms and conditions of the 2026 Share Scheme and such additional terms and conditions, not inconsistent with the Scheme Rules, as our board of directors or the Scheme Administrator may determine. The terms of awards granted under the 2026 Share Scheme need not be identical.</w:t>
      </w:r>
    </w:p>
    <w:p>
      <w:pPr>
        <w:spacing w:after="0" w:line="152" w:lineRule="exact"/>
        <w:rPr>
          <w:sz w:val="20"/>
          <w:szCs w:val="20"/>
          <w:color w:val="auto"/>
        </w:rPr>
      </w:pPr>
    </w:p>
    <w:p>
      <w:pPr>
        <w:ind w:right="10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for Shares. </w:t>
      </w:r>
      <w:r>
        <w:rPr>
          <w:rFonts w:ascii="Times New Roman" w:cs="Times New Roman" w:eastAsia="Times New Roman" w:hAnsi="Times New Roman"/>
          <w:sz w:val="18"/>
          <w:szCs w:val="18"/>
          <w:color w:val="auto"/>
        </w:rPr>
        <w:t>To the extent applicable, the purchase price or exercise price of shares issued pursuant to an award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Share Scheme shall be payable in cash or cash equivalents, unless otherwise determined by our board of directors or the Scheme Administrator. Subject to applicable laws and the terms of the scheme rules, our board of directors or the Scheme Administrator may permit payment to be made by such other methods as it may determine, including (i) the surrender of shares, (ii) cashless exercise or net exercise arrangements, or (iii) any other form of payment permitted under applicable laws.</w:t>
      </w:r>
    </w:p>
    <w:p>
      <w:pPr>
        <w:spacing w:after="0" w:line="139" w:lineRule="exact"/>
        <w:rPr>
          <w:sz w:val="20"/>
          <w:szCs w:val="20"/>
          <w:color w:val="auto"/>
        </w:rPr>
      </w:pPr>
    </w:p>
    <w:p>
      <w:pPr>
        <w:ind w:right="1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Suspension or Termination of the 2026 Share Scheme. </w:t>
      </w:r>
      <w:r>
        <w:rPr>
          <w:rFonts w:ascii="Times New Roman" w:cs="Times New Roman" w:eastAsia="Times New Roman" w:hAnsi="Times New Roman"/>
          <w:sz w:val="18"/>
          <w:szCs w:val="18"/>
          <w:color w:val="auto"/>
        </w:rPr>
        <w:t>Our board of directors or the Scheme Administrator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 suspend or terminate the 2026 Share Scheme at any time. To the extent required by applicable law or the rules of any applicable stock exchange, any material amendment to the 2026 Share Scheme shall be subject to approval by our shareholders. No shareholder approval shall be required for any other amendment of the 2026 Share Scheme.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6.C. Board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Our board of directors consists of seven directors, including three independent non-executive directors, namely Mr. Jackson Tai, Dr. Mark Qiu and Ms. Asmau Ahmed. A director is not required to hold any shares in our company to qualify to serve as a director. The Corporate Governance Rules of the Nasdaq generally require that a majority of an issuer’s board of directors must consist of independent directors. However, the Corporate Governance Rules of the Nasdaq permit foreign private issuers like us to follow “home country practice” in certain corporate governance matters. We rely on this “home country practice” exception and do not have a majority of independent directors serving on our board of directors.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 director who is in any way, whether directly or indirectly, interested in a contract or proposed contract with our company is required to declare the nature of his or her interest at a meeting of our directors. A general notice given to the directors by any director to the effect that he or she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he/she has an interest, and after such general notice it shall not be necessary to give special notice relating to any particular transaction. Subject to the Nasdaq rules and the Rules Governing the Listing of Securities on The Stock Exchange of Hong Kong Limited (“Hong Kong Listing Rules”), a director may vote in respect of any contract or proposed contract or arrangement notwithstanding that he/she may be interested therein and if he/she does so, his/her vote shall be counted and he/she may be counted in the quorum at any meeting of the directors at which any such contract or proposed contract or arrangement is considered. Our board of directors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 party. None of our directors has a service contract with us that provides for benefits upon termination of service as a director.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established an audit committee, a compensation committee, a nomination committee and a corporate governance committee in compliance with the Hong Kong Listing Rules and the Corporate Governance Code set out in Appendix C1 thereunder (the “Corporate Governance Code”). We have adopted a charter for each of the four committees. Each committee’s members and functions are described below.</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Our audit committee consists of Mr. Jackson Tai, Dr. Mark Qiu and Ms. Asmau Ahmed, and is chaired 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Jackson Tai. We have determined that each of Mr. Jackson Tai, Dr. Mark Qiu and Ms. Asmau Ahmed satisfies the requirements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5605(a)(2) of the Listing Rules of the Nasdaq and meets the independence standards under Rule 10A-3 under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of 1934, as amended. We have determined that Dr. Mark Qiu qualifies as an “audit committee financial expert.” The audit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oversees our accounting and financial reporting processes and the audits of the financial statements of our company. The audit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is responsible for, among other things:</w:t>
      </w:r>
    </w:p>
    <w:p>
      <w:pPr>
        <w:spacing w:after="0" w:line="207" w:lineRule="exact"/>
        <w:rPr>
          <w:sz w:val="20"/>
          <w:szCs w:val="20"/>
          <w:color w:val="auto"/>
        </w:rPr>
      </w:pPr>
    </w:p>
    <w:p>
      <w:pPr>
        <w:ind w:left="680" w:right="140" w:hanging="321"/>
        <w:spacing w:after="0" w:line="282"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re-appointment or removal of the independent auditor, after considering its annual performance evaluation of the independent auditor;</w:t>
      </w:r>
    </w:p>
    <w:p>
      <w:pPr>
        <w:spacing w:after="0" w:line="121" w:lineRule="exact"/>
        <w:rPr>
          <w:rFonts w:ascii="Times New Roman" w:cs="Times New Roman" w:eastAsia="Times New Roman" w:hAnsi="Times New Roman"/>
          <w:sz w:val="18"/>
          <w:szCs w:val="18"/>
          <w:color w:val="auto"/>
        </w:rPr>
      </w:pPr>
    </w:p>
    <w:p>
      <w:pPr>
        <w:ind w:left="680" w:right="540" w:hanging="321"/>
        <w:spacing w:after="0" w:line="282"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remuneration and terms of engagement of the independent auditor and pre-approving all auditing and non-auditing services permitted to be performed by our independent auditors at least annually;</w:t>
      </w:r>
    </w:p>
    <w:p>
      <w:pPr>
        <w:spacing w:after="0" w:line="121" w:lineRule="exact"/>
        <w:rPr>
          <w:rFonts w:ascii="Times New Roman" w:cs="Times New Roman" w:eastAsia="Times New Roman" w:hAnsi="Times New Roman"/>
          <w:sz w:val="18"/>
          <w:szCs w:val="18"/>
          <w:color w:val="auto"/>
        </w:rPr>
      </w:pPr>
    </w:p>
    <w:p>
      <w:pPr>
        <w:ind w:left="680" w:right="460" w:hanging="321"/>
        <w:spacing w:after="0" w:line="282"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auditor, among other things, the audits of the financial statements, including whether any material information should be disclosed, issues regarding accounting and auditing principles and practices;</w:t>
      </w:r>
    </w:p>
    <w:p>
      <w:pPr>
        <w:spacing w:after="0" w:line="134"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 as defined in Item 404 of Regulation S-K under the Securities Act, subject to further approval by the board;</w:t>
      </w:r>
    </w:p>
    <w:p>
      <w:pPr>
        <w:spacing w:after="0" w:line="121"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special steps taken to monitor and control major financial risk exposures;</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reassessing the adequacy of the committee charter annually;</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annual audit plans, and undertaking an annual performance evaluation of the internal audit function;</w:t>
      </w:r>
    </w:p>
    <w:p>
      <w:pPr>
        <w:spacing w:after="0" w:line="184" w:lineRule="exact"/>
        <w:rPr>
          <w:rFonts w:ascii="Times New Roman" w:cs="Times New Roman" w:eastAsia="Times New Roman" w:hAnsi="Times New Roman"/>
          <w:sz w:val="18"/>
          <w:szCs w:val="18"/>
          <w:color w:val="auto"/>
        </w:rPr>
      </w:pPr>
    </w:p>
    <w:p>
      <w:pPr>
        <w:ind w:left="680" w:right="560" w:hanging="321"/>
        <w:spacing w:after="0" w:line="282"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and establishing and overseeing procedures for the handling of complaints and whistleblowing;</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registered public accounting firm;</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the board;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other duties and responsibilities as required under the Hong Kong Listing Rules.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0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Our compensation committee consists of Dr. Jun Peng, Dr. Mark Qiu and Ms. Asmau Ahmed, and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chaired by Dr. Mark Qiu. We have determined that each of Dr. Mark Qiu and Ms. Asmau Ahmed satisfies the “independence” requirements of Rule 5605(a)(2) of the Listing Rules of the Nasdaq. The compensation committee assists the board in reviewing and approving the compensation structure, including all forms of compensation, relating to our directors and executive officers. Our chief executive officer may not be present at any committee meeting during which their compensation is deliberated upon. The compensation committee is responsible for, among other things:</w:t>
      </w:r>
    </w:p>
    <w:p>
      <w:pPr>
        <w:spacing w:after="0" w:line="186" w:lineRule="exact"/>
        <w:rPr>
          <w:sz w:val="20"/>
          <w:szCs w:val="20"/>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development and implementation of compensation programs in consultation with our management;</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for our executive officers;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determination with respect to the compensation of our non-executive directors;</w:t>
      </w:r>
    </w:p>
    <w:p>
      <w:pPr>
        <w:spacing w:after="0" w:line="198" w:lineRule="exact"/>
        <w:rPr>
          <w:rFonts w:ascii="Times New Roman" w:cs="Times New Roman" w:eastAsia="Times New Roman" w:hAnsi="Times New Roman"/>
          <w:sz w:val="18"/>
          <w:szCs w:val="18"/>
          <w:color w:val="auto"/>
        </w:rPr>
      </w:pPr>
    </w:p>
    <w:p>
      <w:pPr>
        <w:ind w:left="680" w:right="800" w:hanging="321"/>
        <w:spacing w:after="0" w:line="282"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any incentive compensation or equity plans, programs or other similar arrangements;</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reassessing the adequacy of the committee charter annually;</w:t>
      </w:r>
    </w:p>
    <w:p>
      <w:pPr>
        <w:spacing w:after="0" w:line="184"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compensation consultant, legal counsel or other adviser only after taking into consideration all factors relevant to that person’s independence from management;</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the board;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other duties and responsibilities as required under the Hong Kong Listing Rules.</w:t>
      </w:r>
    </w:p>
    <w:p>
      <w:pPr>
        <w:spacing w:after="0" w:line="235" w:lineRule="exact"/>
        <w:rPr>
          <w:sz w:val="20"/>
          <w:szCs w:val="20"/>
          <w:color w:val="auto"/>
        </w:rPr>
      </w:pPr>
    </w:p>
    <w:p>
      <w:pPr>
        <w:ind w:right="8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Nomination Committee. </w:t>
      </w:r>
      <w:r>
        <w:rPr>
          <w:rFonts w:ascii="Times New Roman" w:cs="Times New Roman" w:eastAsia="Times New Roman" w:hAnsi="Times New Roman"/>
          <w:sz w:val="18"/>
          <w:szCs w:val="18"/>
          <w:color w:val="auto"/>
        </w:rPr>
        <w:t>Our nomination committee consists of Dr. Jun Peng, Dr. Mark Qiu and Ms. Asmau Ahmed, and is chaired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Dr. Mark Qiu. We have determined that each of Dr. Mark Qiu and Ms. Asmau Ahmed satisfies the “independence” requirements of Rule 5605(a)(2) of the Listing Rules of the Nasdaq. The nomination committee assists the board in selecting individuals qualified to become our directors and in determining the composition of the board and its committees. The nomination committee is responsible for, among other things:</w:t>
      </w:r>
    </w:p>
    <w:p>
      <w:pPr>
        <w:spacing w:after="0" w:line="183" w:lineRule="exact"/>
        <w:rPr>
          <w:sz w:val="20"/>
          <w:szCs w:val="20"/>
          <w:color w:val="auto"/>
        </w:rPr>
      </w:pPr>
    </w:p>
    <w:p>
      <w:pPr>
        <w:ind w:left="680" w:right="380" w:hanging="321"/>
        <w:spacing w:after="0" w:line="282"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nominees to the board for election or re-election to the board, or for appointment to fill any vacancy on the board;</w:t>
      </w:r>
    </w:p>
    <w:p>
      <w:pPr>
        <w:spacing w:after="0" w:line="121"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regards to characteristics such as independence, knowledge, judgment, skills, experience, expertise, diversity and availability of service to us;</w:t>
      </w:r>
    </w:p>
    <w:p>
      <w:pPr>
        <w:spacing w:after="0" w:line="134"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the names of directors to serve as members of the audit committee, the compensation committee and the corporate governance committee, as well as of the nomination committee itself;</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reassessing the adequacy of the committee charter;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our regular evaluation of the performance and effectiveness of the board as a whole.</w:t>
      </w:r>
    </w:p>
    <w:p>
      <w:pPr>
        <w:spacing w:after="0" w:line="235"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Corporate Governance Committee. </w:t>
      </w:r>
      <w:r>
        <w:rPr>
          <w:rFonts w:ascii="Times New Roman" w:cs="Times New Roman" w:eastAsia="Times New Roman" w:hAnsi="Times New Roman"/>
          <w:sz w:val="18"/>
          <w:szCs w:val="18"/>
          <w:color w:val="auto"/>
        </w:rPr>
        <w:t>Our corporate governance committee consists of Mr. Jackson Tai, Dr. Mark Qiu and Ms. Asmau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Ahmed, and is chaired by Dr. Mark Qiu. We have determined that each of Mr. Jackson Tai, Dr. Mark Qiu and Ms. Asmau Ahmed satisfies the “independence” requirements of Rule 5605(a)(2) of the Listing Rules of the Nasdaq. The corporate governance committee assists the board in reviewing our actions in furtherance of our corporate social responsibility and developing a set of applicable corporate governance principles. The corporate governance committee is responsible for, among other things:</w:t>
      </w:r>
    </w:p>
    <w:p>
      <w:pPr>
        <w:spacing w:after="0" w:line="156" w:lineRule="exact"/>
        <w:rPr>
          <w:sz w:val="20"/>
          <w:szCs w:val="20"/>
          <w:color w:val="auto"/>
        </w:rPr>
      </w:pPr>
    </w:p>
    <w:p>
      <w:pPr>
        <w:ind w:left="680" w:hanging="321"/>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reviewing and recommending to the board policies and practices on corporate governance;</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the training and continuous professional development of directors and senior management;</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our policies and practices on compliance with legal and regulatory requirements;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compliance with the Corporate Governance Code and disclosure in the corporate governance report;</w:t>
      </w:r>
    </w:p>
    <w:p>
      <w:pPr>
        <w:sectPr>
          <w:pgSz w:w="11900" w:h="16838" w:orient="portrait"/>
          <w:cols w:equalWidth="0" w:num="1">
            <w:col w:w="9880"/>
          </w:cols>
          <w:pgMar w:left="980" w:top="513" w:right="10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20" w:hanging="321"/>
        <w:spacing w:after="0" w:line="261" w:lineRule="auto"/>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all risks related to our weighted voting rights structure and the management of conflicts of interests, make a recommendation to the board on any matter where there is any risk or a potential conflict of interest between the Company and any beneficiary of weighted voting rights, and confirm, on an annual basis, that the beneficiaries of weighted voting rights have complied with certain Hong Kong Listing Rules;</w:t>
      </w:r>
    </w:p>
    <w:p>
      <w:pPr>
        <w:spacing w:after="0" w:line="139" w:lineRule="exact"/>
        <w:rPr>
          <w:rFonts w:ascii="Times New Roman" w:cs="Times New Roman" w:eastAsia="Times New Roman" w:hAnsi="Times New Roman"/>
          <w:sz w:val="18"/>
          <w:szCs w:val="18"/>
          <w:color w:val="auto"/>
        </w:rPr>
      </w:pPr>
    </w:p>
    <w:p>
      <w:pPr>
        <w:ind w:left="680" w:right="580" w:hanging="321"/>
        <w:spacing w:after="0" w:line="282" w:lineRule="auto"/>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reviewing and monitoring the code of conduct and compliance manual (if any) applicable to employees and directors;</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reassessing the adequacy of the committee charter;</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the board;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other duties and responsibilities as required under the Hong Kong Listing Rules.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and Functions of Directors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exercise the skill they actually possess and such care and diligence that a reasonable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limited exceptional circumstances, a shareholder may have the right to seek damages in our name if a duty owed by our directors is breached. In accordance with our tenth amended and restated memorandum and articles of association that is currently effective, the functions and powers of our board of directors include, among others, (i) convening shareholders’ annual general meetings and reporting its work to shareholders at such meetings, (ii) declaring dividends, appointing officers and determining their terms of offices and responsibilities, and (iii) approving the transfer of shares of our company, including the registering of such shares in our share register. In addition, in case of an equality of votes at a board meeting, the chairman of our board of directors has a second or casting vote.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21"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Our officers are elected by and serve at the discretion of the board. Each of our executive directors has entered into a director agreement with us on October 23, 2025, pursuant to which such executive director is appointed for an initial term of three years or until third annual general meeting after November 6, 2025, the date on which our Class A ordinary shares were listed on the Hong Kong Stock Exchange. Either party may terminate such agreement by giving 30 days’ written notice. Our executive directors do not receive any director’s fees under the current arrangement. Each of our non-executive directors and independent non-executive directors has entered into a director agreement with us on October 23, 2025, pursuant to which each such director is appointed for a term of three years or until the third annual general meeting after November 6, 2025, whichever is earlier. Either party may terminate such agreement by giving not less than 30 days’ written notice.</w:t>
      </w:r>
    </w:p>
    <w:p>
      <w:pPr>
        <w:spacing w:after="0" w:line="7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office of a director shall be vacated if, among other things, the director (i) gives notice in writing to our Company that he or she resigns the office of director; (ii) dies, becomes bankrupt or makes any arrangement or composition with his or her creditors generally;</w:t>
      </w:r>
    </w:p>
    <w:p>
      <w:pPr>
        <w:ind w:right="60" w:firstLine="8"/>
        <w:spacing w:after="0" w:line="255" w:lineRule="auto"/>
        <w:tabs>
          <w:tab w:leader="none" w:pos="3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prohibited by any applicable law or rules of the Nasdaq or The Stock Exchange of Hong Kong Limited from being a director; (iv) is found to be or becomes of unsound mind; and (v) is removed from office pursuant to any other provisions of our tenth amended and restated memorandum and articles of association.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Interested Transactions</w:t>
      </w:r>
    </w:p>
    <w:p>
      <w:pPr>
        <w:spacing w:after="0" w:line="22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A director may, subject to any separate requirement for audit committee approval under applicable law or applicable Nasdaq rules, vote in respect of any contract or transaction in which he or she is interested, provided that the nature of the interest of any directors in such contract or transaction is disclosed by him or her at or prior to its consideration and any vote in that matter.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6.D. Employees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pride ourselves on the talent, passion, and dedication of our employees, who are united in our vision to make autonomous mobility safe, sustainable and accessible to people and businesses around the world. We had a total of </w:t>
      </w:r>
      <w:r>
        <w:rPr>
          <w:rFonts w:ascii="Times New Roman" w:cs="Times New Roman" w:eastAsia="Times New Roman" w:hAnsi="Times New Roman"/>
          <w:sz w:val="18"/>
          <w:szCs w:val="18"/>
          <w:color w:val="231F20"/>
        </w:rPr>
        <w:t>1,669</w:t>
      </w:r>
      <w:r>
        <w:rPr>
          <w:rFonts w:ascii="Times New Roman" w:cs="Times New Roman" w:eastAsia="Times New Roman" w:hAnsi="Times New Roman"/>
          <w:sz w:val="18"/>
          <w:szCs w:val="18"/>
          <w:color w:val="auto"/>
        </w:rPr>
        <w:t xml:space="preserve"> employees as of December 31, 2025. A substantial majority of our employees are based in China, with the remaining located in Fremont, California. The following table sets forth the breakdowns of our employees by functions as of December 31, 2025:</w:t>
      </w:r>
    </w:p>
    <w:p>
      <w:pPr>
        <w:spacing w:after="0" w:line="17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gridSpan w:val="3"/>
          </w:tcPr>
          <w:p>
            <w:pPr>
              <w:jc w:val="right"/>
              <w:ind w:right="83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4440" w:type="dxa"/>
            <w:vAlign w:val="bottom"/>
            <w:vMerge w:val="continue"/>
          </w:tcPr>
          <w:p>
            <w:pPr>
              <w:spacing w:after="0"/>
              <w:rPr>
                <w:sz w:val="15"/>
                <w:szCs w:val="15"/>
                <w:color w:val="auto"/>
              </w:rPr>
            </w:pP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Employees</w:t>
            </w:r>
          </w:p>
        </w:tc>
        <w:tc>
          <w:tcPr>
            <w:tcW w:w="112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 Percentage</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44.6 %</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Technology deployment and production</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Sales, general and administration</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We believe that we maintain a good working relationship with our employees, and we have not experienced any material labor disputes in the past. None of our employees are represented by labor unions with respect to his or her employment.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6.E. Share Ownership</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beneficial ownership of our ordinary shares as of March 31, 2026, by:</w:t>
      </w:r>
    </w:p>
    <w:p>
      <w:pPr>
        <w:spacing w:after="0" w:line="225" w:lineRule="exact"/>
        <w:rPr>
          <w:sz w:val="20"/>
          <w:szCs w:val="20"/>
          <w:color w:val="auto"/>
        </w:rPr>
      </w:pPr>
    </w:p>
    <w:p>
      <w:pPr>
        <w:ind w:left="680" w:hanging="321"/>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beneficially own more than 5% of our ordinary shares.</w:t>
      </w:r>
    </w:p>
    <w:p>
      <w:pPr>
        <w:spacing w:after="0" w:line="239"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We have adopted a dual-class voting structure. Dr. Jun Peng, our Chief Executive Officer and chairman of the board, and Dr. Tiancheng Lou, our Chief Technology Officer and director, beneficially own Class B ordinary shares.</w:t>
      </w:r>
    </w:p>
    <w:p>
      <w:pPr>
        <w:spacing w:after="0" w:line="16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calculations in the table below are based on </w:t>
      </w:r>
      <w:r>
        <w:rPr>
          <w:rFonts w:ascii="Times New Roman" w:cs="Times New Roman" w:eastAsia="Times New Roman" w:hAnsi="Times New Roman"/>
          <w:sz w:val="18"/>
          <w:szCs w:val="18"/>
          <w:color w:val="231F20"/>
        </w:rPr>
        <w:t>433,541,553</w:t>
      </w:r>
      <w:r>
        <w:rPr>
          <w:rFonts w:ascii="Times New Roman" w:cs="Times New Roman" w:eastAsia="Times New Roman" w:hAnsi="Times New Roman"/>
          <w:sz w:val="18"/>
          <w:szCs w:val="18"/>
          <w:color w:val="auto"/>
        </w:rPr>
        <w:t xml:space="preserve"> ordinary shares, including 352,452,783 Class A ordinary shares and 81,088,770 Class B ordinary shares issued and outstanding as of March 31, 2026.</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3" w:right="10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or other right or the conversion of any other security. These shares, however, are not included in the computation of the percentage ownership of any other person.</w:t>
      </w:r>
    </w:p>
    <w:p>
      <w:pPr>
        <w:spacing w:after="0" w:line="18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b w:val="1"/>
          <w:bCs w:val="1"/>
          <w:color w:val="auto"/>
        </w:rPr>
        <w:t>Ordinary Shares Beneficially Owned as of March 31, 2026</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0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1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Class A Ordinary</w:t>
            </w: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Class B Ordinary</w:t>
            </w:r>
          </w:p>
        </w:tc>
        <w:tc>
          <w:tcPr>
            <w:tcW w:w="16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3"/>
          </w:tcPr>
          <w:p>
            <w:pPr>
              <w:jc w:val="right"/>
              <w:ind w:right="268"/>
              <w:spacing w:after="0" w:line="118" w:lineRule="exact"/>
              <w:rPr>
                <w:sz w:val="20"/>
                <w:szCs w:val="20"/>
                <w:color w:val="auto"/>
              </w:rPr>
            </w:pPr>
            <w:r>
              <w:rPr>
                <w:rFonts w:ascii="Times New Roman" w:cs="Times New Roman" w:eastAsia="Times New Roman" w:hAnsi="Times New Roman"/>
                <w:sz w:val="13"/>
                <w:szCs w:val="13"/>
                <w:b w:val="1"/>
                <w:bCs w:val="1"/>
                <w:color w:val="auto"/>
              </w:rPr>
              <w:t>Total ordinary</w:t>
            </w:r>
          </w:p>
        </w:tc>
        <w:tc>
          <w:tcPr>
            <w:tcW w:w="1100" w:type="dxa"/>
            <w:vAlign w:val="bottom"/>
            <w:tcBorders>
              <w:top w:val="single" w:sz="8" w:color="auto"/>
            </w:tcBorders>
          </w:tcPr>
          <w:p>
            <w:pPr>
              <w:jc w:val="right"/>
              <w:ind w:right="32"/>
              <w:spacing w:after="0" w:line="118" w:lineRule="exact"/>
              <w:rPr>
                <w:sz w:val="20"/>
                <w:szCs w:val="20"/>
                <w:color w:val="auto"/>
              </w:rPr>
            </w:pPr>
            <w:r>
              <w:rPr>
                <w:rFonts w:ascii="Times New Roman" w:cs="Times New Roman" w:eastAsia="Times New Roman" w:hAnsi="Times New Roman"/>
                <w:sz w:val="13"/>
                <w:szCs w:val="13"/>
                <w:b w:val="1"/>
                <w:bCs w:val="1"/>
                <w:color w:val="auto"/>
              </w:rPr>
              <w:t>% of aggregate</w:t>
            </w:r>
          </w:p>
        </w:tc>
        <w:tc>
          <w:tcPr>
            <w:tcW w:w="160" w:type="dxa"/>
            <w:vAlign w:val="bottom"/>
          </w:tcPr>
          <w:p>
            <w:pPr>
              <w:spacing w:after="0"/>
              <w:rPr>
                <w:sz w:val="10"/>
                <w:szCs w:val="10"/>
                <w:color w:val="auto"/>
              </w:rPr>
            </w:pPr>
          </w:p>
        </w:tc>
      </w:tr>
      <w:tr>
        <w:trPr>
          <w:trHeight w:val="173"/>
        </w:trPr>
        <w:tc>
          <w:tcPr>
            <w:tcW w:w="1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540" w:type="dxa"/>
            <w:vAlign w:val="bottom"/>
            <w:gridSpan w:val="2"/>
          </w:tcPr>
          <w:p>
            <w:pPr>
              <w:ind w:left="134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320" w:type="dxa"/>
            <w:vAlign w:val="bottom"/>
          </w:tcPr>
          <w:p>
            <w:pPr>
              <w:spacing w:after="0"/>
              <w:rPr>
                <w:sz w:val="15"/>
                <w:szCs w:val="15"/>
                <w:color w:val="auto"/>
              </w:rPr>
            </w:pP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voting power*</w:t>
            </w:r>
          </w:p>
        </w:tc>
      </w:tr>
      <w:tr>
        <w:trPr>
          <w:trHeight w:val="196"/>
        </w:trPr>
        <w:tc>
          <w:tcPr>
            <w:tcW w:w="1000" w:type="dxa"/>
            <w:vAlign w:val="bottom"/>
          </w:tcPr>
          <w:p>
            <w:pPr>
              <w:spacing w:after="0"/>
              <w:rPr>
                <w:sz w:val="17"/>
                <w:szCs w:val="17"/>
                <w:color w:val="auto"/>
              </w:rPr>
            </w:pPr>
          </w:p>
        </w:tc>
        <w:tc>
          <w:tcPr>
            <w:tcW w:w="29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1000" w:type="dxa"/>
            <w:vAlign w:val="bottom"/>
          </w:tcPr>
          <w:p>
            <w:pPr>
              <w:spacing w:after="0"/>
              <w:rPr>
                <w:sz w:val="18"/>
                <w:szCs w:val="18"/>
                <w:color w:val="auto"/>
              </w:rPr>
            </w:pPr>
          </w:p>
        </w:tc>
        <w:tc>
          <w:tcPr>
            <w:tcW w:w="30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Dr. Jun Peng</w:t>
            </w:r>
            <w:r>
              <w:rPr>
                <w:rFonts w:ascii="Times New Roman" w:cs="Times New Roman" w:eastAsia="Times New Roman" w:hAnsi="Times New Roman"/>
                <w:sz w:val="25"/>
                <w:szCs w:val="25"/>
                <w:color w:val="auto"/>
                <w:vertAlign w:val="superscript"/>
              </w:rPr>
              <w:t>(1)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60,000,000</w:t>
            </w:r>
          </w:p>
        </w:tc>
        <w:tc>
          <w:tcPr>
            <w:tcW w:w="144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13.8 %</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color w:val="231F20"/>
              </w:rPr>
              <w:t>%</w:t>
            </w:r>
          </w:p>
        </w:tc>
      </w:tr>
      <w:tr>
        <w:trPr>
          <w:trHeight w:val="216"/>
        </w:trPr>
        <w:tc>
          <w:tcPr>
            <w:tcW w:w="1000" w:type="dxa"/>
            <w:vAlign w:val="bottom"/>
          </w:tcPr>
          <w:p>
            <w:pPr>
              <w:spacing w:after="0"/>
              <w:rPr>
                <w:sz w:val="18"/>
                <w:szCs w:val="18"/>
                <w:color w:val="auto"/>
              </w:rPr>
            </w:pPr>
          </w:p>
        </w:tc>
        <w:tc>
          <w:tcPr>
            <w:tcW w:w="30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Dr. Tiancheng Lou</w:t>
            </w:r>
            <w:r>
              <w:rPr>
                <w:rFonts w:ascii="Times New Roman" w:cs="Times New Roman" w:eastAsia="Times New Roman" w:hAnsi="Times New Roman"/>
                <w:sz w:val="25"/>
                <w:szCs w:val="25"/>
                <w:color w:val="auto"/>
                <w:vertAlign w:val="superscript"/>
              </w:rPr>
              <w:t>(2)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21,088,770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4.9 %</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color w:val="231F20"/>
              </w:rPr>
              <w:t>%</w:t>
            </w:r>
          </w:p>
        </w:tc>
      </w:tr>
      <w:tr>
        <w:trPr>
          <w:trHeight w:val="216"/>
        </w:trPr>
        <w:tc>
          <w:tcPr>
            <w:tcW w:w="1000" w:type="dxa"/>
            <w:vAlign w:val="bottom"/>
          </w:tcPr>
          <w:p>
            <w:pPr>
              <w:spacing w:after="0"/>
              <w:rPr>
                <w:sz w:val="18"/>
                <w:szCs w:val="18"/>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Mr. Fei Zhang</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1,031,880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0.2 %</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0.1 </w:t>
            </w:r>
            <w:r>
              <w:rPr>
                <w:rFonts w:ascii="Times New Roman" w:cs="Times New Roman" w:eastAsia="Times New Roman" w:hAnsi="Times New Roman"/>
                <w:sz w:val="18"/>
                <w:szCs w:val="18"/>
                <w:color w:val="231F20"/>
              </w:rPr>
              <w:t>%</w:t>
            </w:r>
          </w:p>
        </w:tc>
      </w:tr>
      <w:tr>
        <w:trPr>
          <w:trHeight w:val="216"/>
        </w:trPr>
        <w:tc>
          <w:tcPr>
            <w:tcW w:w="1000" w:type="dxa"/>
            <w:vAlign w:val="bottom"/>
          </w:tcPr>
          <w:p>
            <w:pPr>
              <w:spacing w:after="0"/>
              <w:rPr>
                <w:sz w:val="18"/>
                <w:szCs w:val="18"/>
                <w:color w:val="auto"/>
              </w:rPr>
            </w:pPr>
          </w:p>
        </w:tc>
        <w:tc>
          <w:tcPr>
            <w:tcW w:w="3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Mr. Takeo Hamada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18"/>
                <w:szCs w:val="18"/>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Dr. Haojun Wang</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1,421,543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0.3 %</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r>
      <w:tr>
        <w:trPr>
          <w:trHeight w:val="216"/>
        </w:trPr>
        <w:tc>
          <w:tcPr>
            <w:tcW w:w="1000" w:type="dxa"/>
            <w:vAlign w:val="bottom"/>
          </w:tcPr>
          <w:p>
            <w:pPr>
              <w:spacing w:after="0"/>
              <w:rPr>
                <w:sz w:val="18"/>
                <w:szCs w:val="18"/>
                <w:color w:val="auto"/>
              </w:rPr>
            </w:pPr>
          </w:p>
        </w:tc>
        <w:tc>
          <w:tcPr>
            <w:tcW w:w="3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Mr. Ning Zhang</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0.1 %</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r>
      <w:tr>
        <w:trPr>
          <w:trHeight w:val="216"/>
        </w:trPr>
        <w:tc>
          <w:tcPr>
            <w:tcW w:w="1000" w:type="dxa"/>
            <w:vAlign w:val="bottom"/>
          </w:tcPr>
          <w:p>
            <w:pPr>
              <w:spacing w:after="0"/>
              <w:rPr>
                <w:sz w:val="18"/>
                <w:szCs w:val="18"/>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Dr. Luyi Mo</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0.1 %</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1000" w:type="dxa"/>
            <w:vAlign w:val="bottom"/>
          </w:tcPr>
          <w:p>
            <w:pPr>
              <w:spacing w:after="0"/>
              <w:rPr>
                <w:sz w:val="18"/>
                <w:szCs w:val="18"/>
                <w:color w:val="auto"/>
              </w:rPr>
            </w:pPr>
          </w:p>
        </w:tc>
        <w:tc>
          <w:tcPr>
            <w:tcW w:w="3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Mr. Jackson Tai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0.0 %</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1000" w:type="dxa"/>
            <w:vAlign w:val="bottom"/>
          </w:tcPr>
          <w:p>
            <w:pPr>
              <w:spacing w:after="0"/>
              <w:rPr>
                <w:sz w:val="18"/>
                <w:szCs w:val="18"/>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Dr. Mark Qiu</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0.0 %</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1000" w:type="dxa"/>
            <w:vAlign w:val="bottom"/>
          </w:tcPr>
          <w:p>
            <w:pPr>
              <w:spacing w:after="0"/>
              <w:rPr>
                <w:sz w:val="18"/>
                <w:szCs w:val="18"/>
                <w:color w:val="auto"/>
              </w:rPr>
            </w:pPr>
          </w:p>
        </w:tc>
        <w:tc>
          <w:tcPr>
            <w:tcW w:w="3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Ms. Asmau Ahmed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0.0 %</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r>
      <w:tr>
        <w:trPr>
          <w:trHeight w:val="198"/>
        </w:trPr>
        <w:tc>
          <w:tcPr>
            <w:tcW w:w="1000" w:type="dxa"/>
            <w:vAlign w:val="bottom"/>
          </w:tcPr>
          <w:p>
            <w:pPr>
              <w:spacing w:after="0"/>
              <w:rPr>
                <w:sz w:val="17"/>
                <w:szCs w:val="17"/>
                <w:color w:val="auto"/>
              </w:rPr>
            </w:pPr>
          </w:p>
        </w:tc>
        <w:tc>
          <w:tcPr>
            <w:tcW w:w="30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All directors and executive officers as</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1000" w:type="dxa"/>
            <w:vAlign w:val="bottom"/>
          </w:tcPr>
          <w:p>
            <w:pPr>
              <w:spacing w:after="0"/>
              <w:rPr>
                <w:sz w:val="20"/>
                <w:szCs w:val="20"/>
                <w:color w:val="auto"/>
              </w:rPr>
            </w:pPr>
          </w:p>
        </w:tc>
        <w:tc>
          <w:tcPr>
            <w:tcW w:w="3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 group</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3,615,088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81,088,770</w:t>
            </w:r>
          </w:p>
        </w:tc>
        <w:tc>
          <w:tcPr>
            <w:tcW w:w="144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19.5 %</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70.0 %</w:t>
            </w:r>
          </w:p>
        </w:tc>
      </w:tr>
      <w:tr>
        <w:trPr>
          <w:trHeight w:val="216"/>
        </w:trPr>
        <w:tc>
          <w:tcPr>
            <w:tcW w:w="1000" w:type="dxa"/>
            <w:vAlign w:val="bottom"/>
          </w:tcPr>
          <w:p>
            <w:pPr>
              <w:spacing w:after="0"/>
              <w:rPr>
                <w:sz w:val="18"/>
                <w:szCs w:val="18"/>
                <w:color w:val="auto"/>
              </w:rPr>
            </w:pPr>
          </w:p>
        </w:tc>
        <w:tc>
          <w:tcPr>
            <w:tcW w:w="3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0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Dr. Jun Peng</w:t>
            </w:r>
            <w:r>
              <w:rPr>
                <w:rFonts w:ascii="Times New Roman" w:cs="Times New Roman" w:eastAsia="Times New Roman" w:hAnsi="Times New Roman"/>
                <w:sz w:val="25"/>
                <w:szCs w:val="25"/>
                <w:color w:val="auto"/>
                <w:vertAlign w:val="superscript"/>
              </w:rPr>
              <w:t>(1)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60,000,000</w:t>
            </w:r>
          </w:p>
        </w:tc>
        <w:tc>
          <w:tcPr>
            <w:tcW w:w="144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13.8 %</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51.6 %</w:t>
            </w:r>
          </w:p>
        </w:tc>
      </w:tr>
      <w:tr>
        <w:trPr>
          <w:trHeight w:val="216"/>
        </w:trPr>
        <w:tc>
          <w:tcPr>
            <w:tcW w:w="1000" w:type="dxa"/>
            <w:vAlign w:val="bottom"/>
          </w:tcPr>
          <w:p>
            <w:pPr>
              <w:spacing w:after="0"/>
              <w:rPr>
                <w:sz w:val="18"/>
                <w:szCs w:val="18"/>
                <w:color w:val="auto"/>
              </w:rPr>
            </w:pPr>
          </w:p>
        </w:tc>
        <w:tc>
          <w:tcPr>
            <w:tcW w:w="30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Toyota Motor Corporation</w:t>
            </w:r>
            <w:r>
              <w:rPr>
                <w:rFonts w:ascii="Times New Roman" w:cs="Times New Roman" w:eastAsia="Times New Roman" w:hAnsi="Times New Roman"/>
                <w:sz w:val="25"/>
                <w:szCs w:val="25"/>
                <w:color w:val="auto"/>
                <w:vertAlign w:val="superscript"/>
              </w:rPr>
              <w:t>(3)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42,453,831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color w:val="231F20"/>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3.6 %</w:t>
            </w:r>
          </w:p>
        </w:tc>
      </w:tr>
      <w:tr>
        <w:trPr>
          <w:trHeight w:val="216"/>
        </w:trPr>
        <w:tc>
          <w:tcPr>
            <w:tcW w:w="1000" w:type="dxa"/>
            <w:vAlign w:val="bottom"/>
          </w:tcPr>
          <w:p>
            <w:pPr>
              <w:spacing w:after="0"/>
              <w:rPr>
                <w:sz w:val="18"/>
                <w:szCs w:val="18"/>
                <w:color w:val="auto"/>
              </w:rPr>
            </w:pPr>
          </w:p>
        </w:tc>
        <w:tc>
          <w:tcPr>
            <w:tcW w:w="30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HongShan</w:t>
            </w:r>
            <w:r>
              <w:rPr>
                <w:rFonts w:ascii="Times New Roman" w:cs="Times New Roman" w:eastAsia="Times New Roman" w:hAnsi="Times New Roman"/>
                <w:sz w:val="25"/>
                <w:szCs w:val="25"/>
                <w:color w:val="auto"/>
                <w:vertAlign w:val="superscript"/>
              </w:rPr>
              <w:t>(4)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22,615,083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color w:val="231F20"/>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1.9 %</w:t>
            </w:r>
          </w:p>
        </w:tc>
      </w:tr>
      <w:tr>
        <w:trPr>
          <w:trHeight w:val="216"/>
        </w:trPr>
        <w:tc>
          <w:tcPr>
            <w:tcW w:w="1000" w:type="dxa"/>
            <w:vAlign w:val="bottom"/>
          </w:tcPr>
          <w:p>
            <w:pPr>
              <w:spacing w:after="0"/>
              <w:rPr>
                <w:sz w:val="18"/>
                <w:szCs w:val="18"/>
                <w:color w:val="auto"/>
              </w:rPr>
            </w:pPr>
          </w:p>
        </w:tc>
        <w:tc>
          <w:tcPr>
            <w:tcW w:w="30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Dr. Tiancheng Lou</w:t>
            </w:r>
            <w:r>
              <w:rPr>
                <w:rFonts w:ascii="Times New Roman" w:cs="Times New Roman" w:eastAsia="Times New Roman" w:hAnsi="Times New Roman"/>
                <w:sz w:val="25"/>
                <w:szCs w:val="25"/>
                <w:color w:val="auto"/>
                <w:vertAlign w:val="superscript"/>
              </w:rPr>
              <w:t>(2)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21,088,770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color w:val="231F20"/>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18.1 %</w:t>
            </w:r>
          </w:p>
        </w:tc>
      </w:tr>
      <w:tr>
        <w:trPr>
          <w:trHeight w:val="108"/>
        </w:trPr>
        <w:tc>
          <w:tcPr>
            <w:tcW w:w="10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76" w:lineRule="exact"/>
        <w:rPr>
          <w:sz w:val="20"/>
          <w:szCs w:val="20"/>
          <w:color w:val="auto"/>
        </w:rPr>
      </w:pPr>
    </w:p>
    <w:p>
      <w:pPr>
        <w:ind w:left="340" w:hanging="332"/>
        <w:spacing w:after="0" w:line="254"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column, percentage of voting power is calculated by dividing the voting power beneficially owned by such person or group by the voting power of all of our ordinary shares as a single class. Our current issued and outstanding share capital consists of Class A ordinary shares and Class B ordinary shares. Dr. Jun Peng, our Chief Executive Officer and director, and Dr. Tiancheng Lou, our Chief Technology Officer and director, collectively beneficially own all of our issued Class B ordinary shares and collectively. Holders of Class A ordinary shares and Class B ordinary shares have the same rights except for voting and conversion rights. Each Class A ordinary share is entitled to one vote and each Class B ordinary share is entitled to ten (10) votes, subject to Rule 8A.24 of the Hong Kong Listing Rules that requires the reserved matters to be voted on a one vote per share basis. Each Class B ordinary share is convertible into one Class A ordinary share at any time by the holder thereof, while Class A ordinary shares are not convertible into Class B ordinary shares under any circumstances.</w:t>
      </w:r>
    </w:p>
    <w:p>
      <w:pPr>
        <w:spacing w:after="0" w:line="148" w:lineRule="exact"/>
        <w:rPr>
          <w:sz w:val="20"/>
          <w:szCs w:val="20"/>
          <w:color w:val="auto"/>
        </w:rPr>
      </w:pPr>
    </w:p>
    <w:p>
      <w:pPr>
        <w:ind w:left="340" w:right="800" w:hanging="332"/>
        <w:spacing w:after="0" w:line="282"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our directors and executive officers is 13 F, Mingzhu Development Building, Nansha District, Guangzhou, Guangdong, People’s Republic of China.</w:t>
      </w:r>
    </w:p>
    <w:p>
      <w:pPr>
        <w:spacing w:after="0" w:line="121" w:lineRule="exact"/>
        <w:rPr>
          <w:sz w:val="20"/>
          <w:szCs w:val="20"/>
          <w:color w:val="auto"/>
        </w:rPr>
      </w:pPr>
    </w:p>
    <w:p>
      <w:pPr>
        <w:ind w:left="340" w:right="240" w:hanging="332"/>
        <w:spacing w:after="0" w:line="230" w:lineRule="auto"/>
        <w:tabs>
          <w:tab w:leader="none" w:pos="340" w:val="left"/>
        </w:tabs>
        <w:numPr>
          <w:ilvl w:val="0"/>
          <w:numId w:val="6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Represents (i) 43,988,000 Class B ordinary shares held of record by Dr. Jun Peng, (ii) 13,990,000 Class B ordinary shares held of record by the voting trust set up by Dr. Peng as its trustee and Dr. Peng and his family member being beneficiaries (the “Voting Trust”) for the benefit of Dr. Jun Peng, (iii) 1,011,000 Class B ordinary shares held of record by Alicia Peng Irrevocable Trust for the benefit of Dr. Jun Peng, and (iv) 1,011,000 Class B ordinary shares held of record by Selena Peng Irrevocable Trust for the benefit of Dr. Jun Peng. The sole trustee of the Voting Trust is Dr. Jun Peng, and the trustee of both Alicia Peng Irrevocable Trust and Selena Peng Irrevocable Trust is Juan Xu.</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160" w:hanging="332"/>
        <w:spacing w:after="0" w:line="230" w:lineRule="auto"/>
        <w:tabs>
          <w:tab w:leader="none" w:pos="340" w:val="left"/>
        </w:tabs>
        <w:numPr>
          <w:ilvl w:val="0"/>
          <w:numId w:val="6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Represents (i) 80,197 Class A ordinary shares held of record by Dr. Tiancheng Lou, (ii) 110,828 Class A ordinary shares held of record by IWAY LLC, a Delaware company wholly owned by Dr. Tiancheng Lou, (iii) 19,068,770 Class B ordinary shares held of record by IWAY LLC, and (iv) 2,020,000 Class B ordinary shares held of record by Amber Luna Lou Irrevocable Trust for the benefit of Dr. Tiancheng Lou. The registered address of IWAY LLC is the Corporation Trust Company, Corporation Trust Center, 1209 Orange Street, Wilmington, Delaware 19801. The trustee of Amber Luna Lou Irrevocable Trust is the South Dakota Trust Company LLC.</w:t>
      </w:r>
    </w:p>
    <w:p>
      <w:pPr>
        <w:spacing w:after="0" w:line="65" w:lineRule="exact"/>
        <w:rPr>
          <w:rFonts w:ascii="Times New Roman" w:cs="Times New Roman" w:eastAsia="Times New Roman" w:hAnsi="Times New Roman"/>
          <w:sz w:val="29"/>
          <w:szCs w:val="29"/>
          <w:color w:val="auto"/>
          <w:vertAlign w:val="superscript"/>
        </w:rPr>
      </w:pPr>
    </w:p>
    <w:p>
      <w:pPr>
        <w:ind w:left="340" w:right="80" w:hanging="332"/>
        <w:spacing w:after="0" w:line="226" w:lineRule="auto"/>
        <w:tabs>
          <w:tab w:leader="none" w:pos="340" w:val="left"/>
        </w:tabs>
        <w:numPr>
          <w:ilvl w:val="0"/>
          <w:numId w:val="6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Represents 42,453,831 Class A ordinary shares held of record by Toyota Motor Corporation, a company incorporated in Japan. The registered address of Toyota Motor Corporation is 1 Toyota-cho, Toyota City, Aichi Prefecture 471-8571, Japan. Toyota Motor Corporation is listed on the Tokyo Stock Exchange, the Nagoya Stock Exchange and the London Stock Exchange. Toyota Motor Corporation is also a reporting company under the Exchange Act and is listed on the New York Stock Exchange. Information set forth above is based upon Toyota Motor Corporation’s Schedule 13G filing with the SEC on February 14, 2025.</w:t>
      </w:r>
    </w:p>
    <w:p>
      <w:pPr>
        <w:spacing w:after="0" w:line="80" w:lineRule="exact"/>
        <w:rPr>
          <w:rFonts w:ascii="Times New Roman" w:cs="Times New Roman" w:eastAsia="Times New Roman" w:hAnsi="Times New Roman"/>
          <w:sz w:val="29"/>
          <w:szCs w:val="29"/>
          <w:color w:val="auto"/>
          <w:vertAlign w:val="superscript"/>
        </w:rPr>
      </w:pPr>
    </w:p>
    <w:p>
      <w:pPr>
        <w:ind w:left="340" w:hanging="332"/>
        <w:spacing w:after="0" w:line="238" w:lineRule="auto"/>
        <w:tabs>
          <w:tab w:leader="none" w:pos="340" w:val="left"/>
        </w:tabs>
        <w:numPr>
          <w:ilvl w:val="0"/>
          <w:numId w:val="6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Represents (i) 19,024,198 Class A ordinary shares (including in the form of ADS) held of record by HSG Venture VI Holdco, Ltd., and (ii) 3,590,885 Class A ordinary shares (including in the form of ADS) held of record by HSG Venture VII Holdco, Ltd. HSG Venture VI Holdco, Ltd. is wholly owned by HongShan Capital Venture Fund VI, L.P. The general partner of HongShan Capital Venture Fund VI, L.P. is HSG Venture VI Management, L.P., whose general partner is HSG Holding Limited. The sole shareholder of HSG Venture VII Holdco, Ltd. is HongShan Capital Venture Fund VII, L.P., whose general partner is HSG Venture VII Management, L.P. The general partner of HSG Venture VII Management, L.P. is HSG Holding Limited. HSG Holding Limited is wholly owned by SNP China Enterprises Limited, which is in turn wholly owned by Mr. Neil Nanpeng Shen. The registered address of each of HSG Venture VI Holdco, Ltd. and HSG Venture VII Holdco, Ltd. is Suite 3613, 36/F, Two Pacific Place, 88 Queensway, Hong Kong. Information set forth above is based upon HSG Venture VI Holdco, Ltd.’s Schedule 13G filing with the SEC on November 14, 2025.</w:t>
      </w:r>
    </w:p>
    <w:p>
      <w:pPr>
        <w:spacing w:after="0" w:line="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To our knowledge, as of March 31, 2026, a total of 1,110,828 Class A ordinary shares and 81,088,770 Class B ordinary shares were held by record holders in the United States, respectively, representing 19.0% of the outstanding ordinary shares. In addition, 169,489,156 Class A ordinary shares were held by the depositary of our ADS program, a record holder in the United States as of the same date. The number of beneficial owners of our ADSs in the United States is likely to be much larger than the number of record holders of our Class A ordinary shares in the United States. We are not aware of any arrangement that may, at a subsequent date, result in a change of control of our company.</w:t>
      </w:r>
    </w:p>
    <w:p>
      <w:pPr>
        <w:spacing w:after="0" w:line="183" w:lineRule="exact"/>
        <w:rPr>
          <w:sz w:val="20"/>
          <w:szCs w:val="20"/>
          <w:color w:val="auto"/>
        </w:rPr>
      </w:pPr>
    </w:p>
    <w:p>
      <w:pPr>
        <w:ind w:right="3240"/>
        <w:spacing w:after="0" w:line="503" w:lineRule="auto"/>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 7.A. Major Shareholders</w:t>
      </w:r>
    </w:p>
    <w:p>
      <w:pPr>
        <w:ind w:left="340"/>
        <w:spacing w:after="0"/>
        <w:rPr>
          <w:sz w:val="20"/>
          <w:szCs w:val="20"/>
          <w:color w:val="auto"/>
        </w:rPr>
      </w:pPr>
      <w:r>
        <w:rPr>
          <w:rFonts w:ascii="Times New Roman" w:cs="Times New Roman" w:eastAsia="Times New Roman" w:hAnsi="Times New Roman"/>
          <w:sz w:val="18"/>
          <w:szCs w:val="18"/>
          <w:color w:val="auto"/>
        </w:rPr>
        <w:t>Please refer to “Item 6. Directors, Senior Management and Employees—6.E. Share Ownership.”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7.B.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Prior Contractual Arrangements</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See “Item 4. Information on the Company—4.C. Organizational Structure—Prior Contractual Arrangements with the Former VIEs and Their Shareholders” for a description of the prior contractual arrangements by and among our PRC subsidiary, the former VIEs and the shareholders of the former VIEs.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See “Item 6. Directors, Senior Management and Employees—6.B. Compensation—Employment Agreements and Indemnification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from time to time, we carry out other transactions and enter into other arrangements with other related parties. None of these transactions or arrangements are considered to be material except for the following.</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sets forth the major related parties and their relationships with us as of December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6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4"/>
                <w:szCs w:val="14"/>
                <w:b w:val="1"/>
                <w:bCs w:val="1"/>
                <w:color w:val="auto"/>
              </w:rPr>
              <w:t>Name of related parties</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7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4"/>
                <w:szCs w:val="14"/>
                <w:b w:val="1"/>
                <w:bCs w:val="1"/>
                <w:color w:val="auto"/>
              </w:rPr>
              <w:t>Relationship with our company</w:t>
            </w:r>
          </w:p>
        </w:tc>
      </w:tr>
      <w:tr>
        <w:trPr>
          <w:trHeight w:val="191"/>
        </w:trPr>
        <w:tc>
          <w:tcPr>
            <w:tcW w:w="2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Toyota Motor Corporation (“TMC”)</w:t>
            </w:r>
          </w:p>
        </w:tc>
        <w:tc>
          <w:tcPr>
            <w:tcW w:w="180" w:type="dxa"/>
            <w:vAlign w:val="bottom"/>
          </w:tcPr>
          <w:p>
            <w:pPr>
              <w:spacing w:after="0"/>
              <w:rPr>
                <w:sz w:val="16"/>
                <w:szCs w:val="16"/>
                <w:color w:val="auto"/>
              </w:rPr>
            </w:pPr>
          </w:p>
        </w:tc>
        <w:tc>
          <w:tcPr>
            <w:tcW w:w="4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Our shareholder</w:t>
            </w: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Sinotrans Limited (“Sinotrans”)</w:t>
            </w:r>
          </w:p>
        </w:tc>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shareholder of Cyantron</w:t>
            </w: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Tiancheng Lou</w:t>
            </w:r>
          </w:p>
        </w:tc>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Our director, shareholder and Chief Technology Officer</w:t>
            </w: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Zhuifeng Intelligent Technology (Guangzhou) Co., Ltd (“Zhuifeng</w:t>
            </w:r>
          </w:p>
        </w:tc>
        <w:tc>
          <w:tcPr>
            <w:tcW w:w="180" w:type="dxa"/>
            <w:vAlign w:val="bottom"/>
          </w:tcPr>
          <w:p>
            <w:pPr>
              <w:spacing w:after="0"/>
              <w:rPr>
                <w:sz w:val="18"/>
                <w:szCs w:val="18"/>
                <w:color w:val="auto"/>
              </w:rPr>
            </w:pPr>
          </w:p>
        </w:tc>
        <w:tc>
          <w:tcPr>
            <w:tcW w:w="47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Intelligent”)</w:t>
            </w:r>
          </w:p>
        </w:tc>
        <w:tc>
          <w:tcPr>
            <w:tcW w:w="18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investee</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sets forth our material related party transactions for the periods indicated:</w:t>
      </w:r>
    </w:p>
    <w:p>
      <w:pPr>
        <w:spacing w:after="0" w:line="232"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980" w:type="dxa"/>
            <w:vAlign w:val="bottom"/>
            <w:vMerge w:val="restart"/>
          </w:tcPr>
          <w:p>
            <w:pPr>
              <w:ind w:left="68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TMC</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Sinotrans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30,719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29,625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Zhuifeng Intelligent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231F20"/>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23,103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30,826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980" w:type="dxa"/>
            <w:vAlign w:val="bottom"/>
            <w:vMerge w:val="restart"/>
          </w:tcPr>
          <w:p>
            <w:pPr>
              <w:ind w:left="68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7"/>
          </w:tcPr>
          <w:p>
            <w:pPr>
              <w:jc w:val="center"/>
              <w:ind w:left="37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3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and finance lease</w:t>
            </w:r>
          </w:p>
        </w:tc>
        <w:tc>
          <w:tcPr>
            <w:tcW w:w="7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Cost</w:t>
            </w: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Sinotrans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Sinotrans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Sinotrans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70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Dr. Tiancheng Lou </w:t>
            </w:r>
            <w:r>
              <w:rPr>
                <w:rFonts w:ascii="Times New Roman" w:cs="Times New Roman" w:eastAsia="Times New Roman" w:hAnsi="Times New Roman"/>
                <w:sz w:val="25"/>
                <w:szCs w:val="25"/>
                <w:color w:val="auto"/>
                <w:vertAlign w:val="superscript"/>
              </w:rPr>
              <w:t>(1)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have conducted transactions with TMC, our principal shareholder, in the ordinary course of our business. We have rendered engineering solution services to TMC in exchange for service fees of US$0.6 million in 2023, US$0.1 million in 2024 and US$</w:t>
      </w:r>
      <w:r>
        <w:rPr>
          <w:rFonts w:ascii="Times New Roman" w:cs="Times New Roman" w:eastAsia="Times New Roman" w:hAnsi="Times New Roman"/>
          <w:sz w:val="18"/>
          <w:szCs w:val="18"/>
          <w:color w:val="231F20"/>
        </w:rPr>
        <w:t>0.1</w:t>
      </w:r>
      <w:r>
        <w:rPr>
          <w:rFonts w:ascii="Times New Roman" w:cs="Times New Roman" w:eastAsia="Times New Roman" w:hAnsi="Times New Roman"/>
          <w:sz w:val="18"/>
          <w:szCs w:val="18"/>
          <w:color w:val="auto"/>
        </w:rPr>
        <w:t xml:space="preserve"> million in 2025. We have also conducted transactions with Sinotrans, a non-controlling shareholder of our subsidiary Cyantron, in the ordinary course of our business. We offered virtual driver operation and other related services to Sinotrans in exchange for services fees of approximately US$22.5 million in 2023, US$30.7 million in 2024 and US$</w:t>
      </w:r>
      <w:r>
        <w:rPr>
          <w:rFonts w:ascii="Times New Roman" w:cs="Times New Roman" w:eastAsia="Times New Roman" w:hAnsi="Times New Roman"/>
          <w:sz w:val="18"/>
          <w:szCs w:val="18"/>
          <w:color w:val="231F20"/>
        </w:rPr>
        <w:t>29.6</w:t>
      </w:r>
      <w:r>
        <w:rPr>
          <w:rFonts w:ascii="Times New Roman" w:cs="Times New Roman" w:eastAsia="Times New Roman" w:hAnsi="Times New Roman"/>
          <w:sz w:val="18"/>
          <w:szCs w:val="18"/>
          <w:color w:val="auto"/>
        </w:rPr>
        <w:t xml:space="preserve"> million in 2025. We have conducted transactions with Zhuifeng Intelligent, one of our equity method investees, in the ordinary course of our business. We offered engineering solutions services to Zhuifeng Intelligent in exchange for service fees of nil in 2023, nil in 2024 and US$</w:t>
      </w:r>
      <w:r>
        <w:rPr>
          <w:rFonts w:ascii="Times New Roman" w:cs="Times New Roman" w:eastAsia="Times New Roman" w:hAnsi="Times New Roman"/>
          <w:sz w:val="18"/>
          <w:szCs w:val="18"/>
          <w:color w:val="231F20"/>
        </w:rPr>
        <w:t>1.1</w:t>
      </w:r>
      <w:r>
        <w:rPr>
          <w:rFonts w:ascii="Times New Roman" w:cs="Times New Roman" w:eastAsia="Times New Roman" w:hAnsi="Times New Roman"/>
          <w:sz w:val="18"/>
          <w:szCs w:val="18"/>
          <w:color w:val="auto"/>
        </w:rPr>
        <w:t xml:space="preserve"> million in 2025.</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sets forth the balances with our related parties as of the dates indicated:</w:t>
      </w:r>
    </w:p>
    <w:p>
      <w:pPr>
        <w:spacing w:after="0" w:line="232"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000" w:type="dxa"/>
            <w:vAlign w:val="bottom"/>
            <w:gridSpan w:val="2"/>
          </w:tcPr>
          <w:p>
            <w:pPr>
              <w:ind w:left="68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from related parties</w:t>
            </w: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TMC</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Sinotrans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8,317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10,153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Zhuifeng Intelligent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5,650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8,322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ind w:left="4820"/>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69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6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513" w:right="9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5340" w:type="dxa"/>
            <w:vAlign w:val="bottom"/>
            <w:gridSpan w:val="2"/>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40" w:type="dxa"/>
            <w:vAlign w:val="bottom"/>
            <w:tcBorders>
              <w:top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center"/>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40" w:type="dxa"/>
            <w:vAlign w:val="bottom"/>
            <w:tcBorders>
              <w:top w:val="single" w:sz="8" w:color="auto"/>
              <w:bottom w:val="single" w:sz="8" w:color="auto"/>
            </w:tcBorders>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to related parties</w:t>
            </w:r>
          </w:p>
        </w:tc>
        <w:tc>
          <w:tcPr>
            <w:tcW w:w="4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Sinotrans</w:t>
            </w:r>
          </w:p>
        </w:tc>
        <w:tc>
          <w:tcPr>
            <w:tcW w:w="45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900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1,422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5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900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1,422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480" w:type="dxa"/>
            <w:vAlign w:val="bottom"/>
          </w:tcPr>
          <w:p>
            <w:pPr>
              <w:spacing w:after="0"/>
              <w:rPr>
                <w:sz w:val="24"/>
                <w:szCs w:val="24"/>
                <w:color w:val="auto"/>
              </w:rPr>
            </w:pPr>
          </w:p>
        </w:tc>
        <w:tc>
          <w:tcPr>
            <w:tcW w:w="5340" w:type="dxa"/>
            <w:vAlign w:val="bottom"/>
            <w:gridSpan w:val="2"/>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5340" w:type="dxa"/>
            <w:vAlign w:val="bottom"/>
            <w:gridSpan w:val="2"/>
          </w:tcPr>
          <w:p>
            <w:pPr>
              <w:ind w:left="47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40" w:type="dxa"/>
            <w:vAlign w:val="bottom"/>
            <w:tcBorders>
              <w:top w:val="single" w:sz="8" w:color="auto"/>
              <w:bottom w:val="single" w:sz="8" w:color="auto"/>
            </w:tcBorders>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and finance lease</w:t>
            </w:r>
          </w:p>
        </w:tc>
        <w:tc>
          <w:tcPr>
            <w:tcW w:w="4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Sinotrans</w:t>
            </w:r>
          </w:p>
        </w:tc>
        <w:tc>
          <w:tcPr>
            <w:tcW w:w="5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Sinotrans</w:t>
            </w:r>
          </w:p>
        </w:tc>
        <w:tc>
          <w:tcPr>
            <w:tcW w:w="5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4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60" w:hanging="332"/>
        <w:spacing w:after="0" w:line="281" w:lineRule="auto"/>
        <w:tabs>
          <w:tab w:leader="none" w:pos="3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2018, we offered a promissory note to Dr. Tiancheng Lou in the principal amount of US$2.9 million to cover the income taxes resulting from certain equity awards granted to him. The promissory note has been repaid by Dr. Tiancheng Lou in March 2023. In connection with this promissory note, interest income of us due from Dr. Tiancheng Lou was US$83 thousand in 2022, and US$21 thousand in 2023. In March 2023, Dr. Tiancheng Lou (through his affiliated shareholding entity) entered into a share repurchase agreement with us, pursuant to which we repurchased a certain amount of Series A preferred shares for a total cash consideration of US$4.8 million, subject to customary closing conditions. Dr. Tiancheng Lou used such cash proceeds to repay the promissory note.</w:t>
      </w:r>
    </w:p>
    <w:p>
      <w:pPr>
        <w:spacing w:after="0" w:line="17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8.A. Consolidated Statements and Other Financial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appended consolidated financial statements filed as part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are from time to time subject to various claims, lawsuits and other legal and administrative proceedings arising in the ordinary course of business. However, we do not consider any such claims, lawsuits or proceedings that are currently pending, individually or in the aggregate, to be material to our business or likely or result in a material adverse effect on our future operating results, financial condition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have not previously declared or paid any cash dividend or dividend in kind and we have no plan to declare or pay any dividends in the near future on our shares or the ADSs representing our Class A ordinary shares. We currently intend to retain most, if not all, of our available funds and any future earnings to operate and expand our business.</w:t>
      </w:r>
    </w:p>
    <w:p>
      <w:pPr>
        <w:spacing w:after="0" w:line="176"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We rely principally on dividends from our PRC subsidiaries for our cash requirements, including any payment of dividends to our shareholders. PRC regulations may restrict the ability of our PRC subsidiaries to pay dividends to us. See “Item 3. Key Information—3.D. Risk Factors—Risks Related to Doing Business in China—We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and “Item 4. Information on the Company—4.B. Business Overview—Regulation—Regulations on Foreign Exchange Control and Dividend Distribution.”</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may declare dividends subject to relevant laws of the Cayman Islands and our tenth amended and restated memorandum and articles of association, but no dividend may be declared in excess of the amount recommended by our board of directors. Our tenth amended and restated memorandum and articles of association provide that no dividend or other distribution shall be paid except out of the realized or unrealized profits of our company, out of the share premium account of our company or as otherwise permitted by relevant laws of the Cayman Islands. As a holding company incorporated under the laws of the Cayman Islands, the financial position of accumulated deficit does not prohibit our company from declaring and paying dividends to our shareholders. Dividends may still be declared and paid out of the share premium account notwithstanding the profitability, provided that our tenth amended and restated memorandum and articles of association do not prohibit such payment and our company is able to pay its debts as they fall due in the ordinary course of business immediately after such payment. The declaration of dividends is subject to the discretion of our board of directors, and the form, frequency and amount will depend upon our company’s future operations and earnings, capital requirements and surplus, general financial condition, contractual restrictions and other factors that our board of directors may deem relevant. Depending on the financial conditions of our company and its subsidiaries and the conditions and factors set out above, our board of directors may recommend and/or declare the following dividends: (a) final dividends; (b) interim dividends; (c) special dividend; and (d) any distribution of net profits that our board of directors may deem appropriate. If we pay any dividends on our ordinary shares, we will pay those dividends which are payable in respect of the Class A ordinary shares underlying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 See “Item 12. Description of Securities Other Than Equity Securities—12.D. American Depositary Shares.”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8.B. Significant Changes</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Except as otherwise disclosed in this report, we have not experienced any significant changes since the date of the annual financial statements included herein.</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THE OFFER AND LISTING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9.A. Offering and Listing Details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ADSs representing our Class A ordinary shares have been listed on the Nasdaq Global Select Market since November 27, 2024 under the symbol “PONY.” Each ADS represents one Class A ordinary share, par value US$0.0005 per share.</w:t>
      </w:r>
    </w:p>
    <w:p>
      <w:pPr>
        <w:spacing w:after="0" w:line="162"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Our Class A ordinary shares have been listed on the Hong Kong Stock Exchange since November 6, 2025 under the stock code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9.B. Plan of Distribution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9.C. Markets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ADSs representing our Class A ordinary shares have been listed on the Nasdaq Global Select Market since November 27, 2024 under the symbol “PONY.”</w:t>
      </w:r>
    </w:p>
    <w:p>
      <w:pPr>
        <w:spacing w:after="0" w:line="162"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Our Class A ordinary shares have been listed on the Hong Kong Stock Exchange since November 6, 2025 under the stock code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9.D. Selling Shareholders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9.E. Dilution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840"/>
          </w:cols>
          <w:pgMar w:left="980" w:top="513" w:right="107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type w:val="continuous"/>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9.F. Expenses of the Issue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tab/>
        <w:t>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10.A. Share Capital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10.B. Memorandum and Articles of Association</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are a Cayman Islands exempted company and our affairs are governed by our memorandum and articles of association, as amended and restated from time to time, and Companies Act (as amended) of the Cayman Islands, which we refer to as the “Companies Act” below, and the common law of the Cayman Islands.</w:t>
      </w:r>
    </w:p>
    <w:p>
      <w:pPr>
        <w:spacing w:after="0" w:line="176" w:lineRule="exact"/>
        <w:rPr>
          <w:sz w:val="20"/>
          <w:szCs w:val="20"/>
          <w:color w:val="auto"/>
        </w:rPr>
      </w:pPr>
    </w:p>
    <w:p>
      <w:pPr>
        <w:ind w:right="120" w:firstLine="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incorporate by reference into this annual report our tenth amended and restated memorandum and articles of association, the form of which was filed as </w:t>
      </w:r>
      <w:hyperlink r:id="rId198">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registration statement on Form S-8 filed with the SEC on April 2, 2026. We adopted our tenth amended and restated memorandum and articles of association by a special resolution of our shareholders on April 2, 2026, which became effective on April 2, 2026.</w:t>
      </w:r>
    </w:p>
    <w:p>
      <w:pPr>
        <w:spacing w:after="0" w:line="18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tenth amended and restated memorandum and articles of association and of the Companies Act, insofar as they relate to the material terms of our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Office and Objects</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registered office in the Cayman Islands is at the offices of Walkers Corporate Limited, 190 Elgin Avenue, George Town, Grand Cayman, KY1-9008, Cayman Islands.</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According to Clause 3 of our amended and restated memorandum and articles of association, the objects for which we are established are unrestricted and the Company shall have full power and authority to carry out any object not prohibited by the Companies Act (As Amended) or as the same may be revised from time to time, or any other law of the Cayman Islands.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5"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Ordinary Shares. </w:t>
      </w:r>
      <w:r>
        <w:rPr>
          <w:rFonts w:ascii="Times New Roman" w:cs="Times New Roman" w:eastAsia="Times New Roman" w:hAnsi="Times New Roman"/>
          <w:sz w:val="18"/>
          <w:szCs w:val="18"/>
          <w:color w:val="auto"/>
        </w:rPr>
        <w:t>Except in relation to voting rights and conversion rights, holders of ordinary shares will have the same rights.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issued and outstanding ordinary shares are fully paid and non-assessable. Our ordinary shares are issued in registered form and are issued when registered in our register of members. We may not issue shares to bearer. Our shareholders who are non-residents of the Cayman Islands may freely hold and transfer their ordinary shares.</w:t>
      </w:r>
    </w:p>
    <w:p>
      <w:pPr>
        <w:spacing w:after="0" w:line="176"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 The holders of our ordinary shares are entitled to such dividends as may be declared by our board of directors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tenth amended and restated memorandum and articles of association and the Companies Act. Our tenth amended and restated memorandum and articles of association provide that dividends may be declared and paid out of our profits, realized or unrealized, or as otherwise permitted under the Companies Act. Dividends may also be declared and paid out of the share premium account or any other fund or account which can be authorized for this purpose in accordance with the Companies Act. No dividend may be declared and paid unless our directors determine that, immediately after the payment, we will be able to pay our debts as they become due in the ordinary course of business and we have funds lawfully available for such purpose.</w:t>
      </w:r>
    </w:p>
    <w:p>
      <w:pPr>
        <w:spacing w:after="0" w:line="183" w:lineRule="exact"/>
        <w:rPr>
          <w:sz w:val="20"/>
          <w:szCs w:val="20"/>
          <w:color w:val="auto"/>
        </w:rPr>
      </w:pPr>
    </w:p>
    <w:p>
      <w:pPr>
        <w:jc w:val="both"/>
        <w:ind w:right="1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Classes of Ordinary Shares. </w:t>
      </w:r>
      <w:r>
        <w:rPr>
          <w:rFonts w:ascii="Times New Roman" w:cs="Times New Roman" w:eastAsia="Times New Roman" w:hAnsi="Times New Roman"/>
          <w:sz w:val="18"/>
          <w:szCs w:val="18"/>
          <w:color w:val="auto"/>
        </w:rPr>
        <w:t>Our ordinary shares are divided into Class A ordinary shares and Class B ordinary shares. Except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conversion rights and voting rights, the Class A ordinary shares and Class B ordinary shares shall carry equal rights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one another, including but not limited to the rights to dividends and other capital distributions.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firstLine="324"/>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Conversion Rights. </w:t>
      </w:r>
      <w:r>
        <w:rPr>
          <w:rFonts w:ascii="Times New Roman" w:cs="Times New Roman" w:eastAsia="Times New Roman" w:hAnsi="Times New Roman"/>
          <w:sz w:val="17"/>
          <w:szCs w:val="17"/>
          <w:color w:val="auto"/>
        </w:rPr>
        <w:t>Each Class B ordinary share is convertible into one (1) Class A ordinary share at any time by the holder thereof.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right to convert shall be exercisable by the holder of the Class B ordinary share delivering a written notice to our company that such holder elects to convert a specified number of Class B ordinary shares into Class A ordinary shares. In no event shall Class A ordinary shares be convertible into Class B ordinary shares. Class B ordinary shares shall be automatically converted into Class A ordinary shares upon the occurrence of certain specified events as set out in our tenth amended and restated memorandum and articles of association.</w:t>
      </w:r>
    </w:p>
    <w:p>
      <w:pPr>
        <w:spacing w:after="0" w:line="164"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In respect of all matters subject to a shareholders’ vote, holders of Class A ordinary shares and Class B ordinary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shall, at all times, vote together as one class on all matters submitted to a vote by the members at any such general meeting. Each Class A ordinary share shall be entitled to one (1) vote on all matters subject to the vote at general meetings of our company, and each Class B ordinary share shall be entitled to ten (10) votes on all matters subject to the vote at general meetings (including extraordinary general meetings) of our company. Voting at any meeting of shareholders shall be determined by poll and not on a show of hands, save that the chairman of the meeting may, in good faith, allow a resolution which relates purely to a procedural or administrative matter as prescribed under the listing rules of the Hong Kong Stock Exchange to be voted on by a show of hands.</w:t>
      </w:r>
    </w:p>
    <w:p>
      <w:pPr>
        <w:spacing w:after="0" w:line="14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not less than a simple majority of all votes, cast by those shareholders entitled to vote who are present (in any manner permitted under our tenth amended and restated memorandum and articles of association) or by proxy at a general meeting, while a special resolution requires the affirmative vote of not less than three-fourths of all votes, cast by those shareholders entitled to vote who are present (in any manner permitted under our tenth amended and restated memorandum and articles of association) or by proxy at a general meeting. A special resolution will be required for important matters such as a change of name or making changes to our tenth amended and restated memorandum and articles of association.</w:t>
      </w:r>
    </w:p>
    <w:p>
      <w:pPr>
        <w:spacing w:after="0" w:line="144"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Meetings of Shareholders. </w:t>
      </w:r>
      <w:r>
        <w:rPr>
          <w:rFonts w:ascii="Times New Roman" w:cs="Times New Roman" w:eastAsia="Times New Roman" w:hAnsi="Times New Roman"/>
          <w:sz w:val="18"/>
          <w:szCs w:val="18"/>
          <w:color w:val="auto"/>
        </w:rPr>
        <w:t>A quorum required for a meeting of shareholders consists of shareholders holding a 10% of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votes attaching to the issued and outstanding shares entitled to vote at general meetings (on a one vote per share basis) present (in any manner permitted under our tenth amended and restated memorandum and articles of association) or by proxy or, if a corporation or other non-natural person, by its duly authorized representative. Our tenth amended and restated memorandum and articles of association provide that we shall in each year hold a general meeting as our annual general meeting in which case we will specify the meeting as such in the notices calling it, and the annual general meeting will be held at such time and place as may be determined by our directors. Each general meeting, other than an annual general meeting, shall be an extraordinary general meeting. Shareholders’ annual general meetings and any other general meetings of our shareholders may be called by a majority of our board of directors or our chairman or upon a requisition of shareholders holding at the date of deposit of the requisition not less than one-tenth of the voting rights, on a one vote per share basis, attaching to the issued shares that as at the date of the deposit carry the right to vote at general meetings (excluding treasury shares, if any). If the directors do not call such meeting within twenty-one (21) days from the date of the deposit of the requisition, the requisitionists may themselves convene a general meeting. Our tenth amended and restated memorandum and articles of association do not provide our shareholders with any right to put any proposals before annual general meetings or extraordinary general meetings not called by such shareholders. Advance notice of at least twenty-one (21) days is required for the convening of our annual general meeting and advance notice of at least fourteen (14) days is required for the convening of other general meetings unless shorter notice is agreed to by the shareholders in accordance with our articles of association.</w:t>
      </w:r>
    </w:p>
    <w:p>
      <w:pPr>
        <w:spacing w:after="0" w:line="168" w:lineRule="exact"/>
        <w:rPr>
          <w:sz w:val="20"/>
          <w:szCs w:val="20"/>
          <w:color w:val="auto"/>
        </w:rPr>
      </w:pPr>
    </w:p>
    <w:p>
      <w:pPr>
        <w:jc w:val="both"/>
        <w:ind w:right="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of Ordinary Shares. </w:t>
      </w:r>
      <w:r>
        <w:rPr>
          <w:rFonts w:ascii="Times New Roman" w:cs="Times New Roman" w:eastAsia="Times New Roman" w:hAnsi="Times New Roman"/>
          <w:sz w:val="18"/>
          <w:szCs w:val="18"/>
          <w:color w:val="auto"/>
        </w:rPr>
        <w:t>Subject to the restrictions in our tenth amended and restated memorandum and articles of association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set out below, any of our shareholders may transfer all or any of his or her ordinary shares by an instrument of transfer in the usual or common form or any other form approved by our board of directors (which is consistent with the standard form of transfer as prescribed by the Nasdaq or the Hong Kong Stock Exchange as appropriate).</w:t>
      </w:r>
    </w:p>
    <w:p>
      <w:pPr>
        <w:spacing w:after="0" w:line="18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62" w:lineRule="exact"/>
        <w:rPr>
          <w:sz w:val="20"/>
          <w:szCs w:val="20"/>
          <w:color w:val="auto"/>
        </w:rPr>
      </w:pPr>
    </w:p>
    <w:p>
      <w:pPr>
        <w:ind w:left="680" w:right="120" w:hanging="321"/>
        <w:spacing w:after="0" w:line="297" w:lineRule="auto"/>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6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320" w:hanging="321"/>
        <w:spacing w:after="0" w:line="297" w:lineRule="auto"/>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w:t>
      </w:r>
    </w:p>
    <w:p>
      <w:pPr>
        <w:spacing w:after="0" w:line="16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free from any lien in favor of our company; and</w:t>
      </w:r>
    </w:p>
    <w:p>
      <w:pPr>
        <w:spacing w:after="0" w:line="238" w:lineRule="exact"/>
        <w:rPr>
          <w:rFonts w:ascii="Times New Roman" w:cs="Times New Roman" w:eastAsia="Times New Roman" w:hAnsi="Times New Roman"/>
          <w:sz w:val="18"/>
          <w:szCs w:val="18"/>
          <w:color w:val="auto"/>
        </w:rPr>
      </w:pPr>
    </w:p>
    <w:p>
      <w:pPr>
        <w:ind w:left="680" w:right="220" w:hanging="321"/>
        <w:spacing w:after="0" w:line="297" w:lineRule="auto"/>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may determine to be payable or such lesser sum as our directors may from time to time require is paid to us in respect thereof.</w:t>
      </w:r>
    </w:p>
    <w:p>
      <w:pPr>
        <w:spacing w:after="0" w:line="163"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two months after the date on which the instrument of transfer was lodged with us, send to each of the transferor and the transferee notice of such refusal.</w:t>
      </w:r>
    </w:p>
    <w:p>
      <w:pPr>
        <w:spacing w:after="0" w:line="16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registration of transfers may, after compliance with any notice required by the Nasdaq or the Hong Kong Stock Exchange, be suspended and the register closed at such times and for such periods as our board of directors may from time to time determine,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registration of transfers shall not be suspended nor the register closed for more than thirty (30) calendar days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as our board may determine.</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On a return of capital on winding up or otherwise (other than on conversion, redemption or purchase of ordinary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 Any distribution of assets or capital to a holder of ordinary share will be the same in any liquidation event.</w:t>
      </w:r>
    </w:p>
    <w:p>
      <w:pPr>
        <w:spacing w:after="0" w:line="185" w:lineRule="exact"/>
        <w:rPr>
          <w:sz w:val="20"/>
          <w:szCs w:val="20"/>
          <w:color w:val="auto"/>
        </w:rPr>
      </w:pPr>
    </w:p>
    <w:p>
      <w:pPr>
        <w:ind w:right="1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Calls on Ordinary Shares and Forfeiture of Ordinary Shares. </w:t>
      </w:r>
      <w:r>
        <w:rPr>
          <w:rFonts w:ascii="Times New Roman" w:cs="Times New Roman" w:eastAsia="Times New Roman" w:hAnsi="Times New Roman"/>
          <w:sz w:val="18"/>
          <w:szCs w:val="18"/>
          <w:color w:val="auto"/>
        </w:rPr>
        <w:t>Our board of directors may from time to time make calls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for any amounts unpaid on their ordinary shares in a notice served to such shareholders at least fourteen (14) days prior to the specified time of payment. The ordinary shares that have been called upon and remain unpaid are subject to forfeiture.</w:t>
      </w:r>
    </w:p>
    <w:p>
      <w:pPr>
        <w:spacing w:after="0" w:line="13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Repurchase and Surrender of Ordinary Shares. </w:t>
      </w:r>
      <w:r>
        <w:rPr>
          <w:rFonts w:ascii="Times New Roman" w:cs="Times New Roman" w:eastAsia="Times New Roman" w:hAnsi="Times New Roman"/>
          <w:sz w:val="18"/>
          <w:szCs w:val="18"/>
          <w:color w:val="auto"/>
        </w:rPr>
        <w:t>We may issue shares on terms that such shares are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redemption, at our option or at the option of the holders thereof, on such terms and in such manner as may be determined, before the issue of such shares, by our board of directors. Our Company may also repurchase any of our shares provided that the manner and terms of such purchase have been approved by our board of directors, or are otherwise authorized by our tenth amended and restated memorandum and articles of association, provided always that any such purchase shall only be made in accordance with any relevant code, rules or regulations issued by the Hong Kong Stock Exchange or the Securities and Futures Commission of Hong Kong from time to time in force. Under the Companies Act, the redemption or repurchase of any share may be paid out of our company’s profits or out of the proceeds of a fresh issue of shares made for the purpose of such redemption or repurchase, or out of capital (including the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4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Variations of Rights of Shares. </w:t>
      </w:r>
      <w:r>
        <w:rPr>
          <w:rFonts w:ascii="Times New Roman" w:cs="Times New Roman" w:eastAsia="Times New Roman" w:hAnsi="Times New Roman"/>
          <w:sz w:val="18"/>
          <w:szCs w:val="18"/>
          <w:color w:val="auto"/>
        </w:rPr>
        <w:t>If at any time our share capital is divided into different classes or series of shares, the rights attached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to any class or series of shares (unless otherwise provided by the terms of issue of the shares of that class or series) or shares representing a portion of that class, whether or not our company is being wound- up, may be varied with the consent in writing of not less than three-fourths of the voting rights of issued shares of that class or series or with the sanction of a special resolution at a separate meeting of the holders of the shares of the class or series by shareholders holding shares representing three-fourths of the number of issued shares of that class present (in any manner permitted by our tenth amended and restated memorandum and articles of association) and voting at such meeting. The rights conferred upon the holders of the shares of any class issued shall not, unless otherwise expressly provided by the terms of issue of the shares of that class, be deemed to be materially adversely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such existing class of shares.</w:t>
      </w:r>
    </w:p>
    <w:p>
      <w:pPr>
        <w:spacing w:after="0" w:line="161" w:lineRule="exact"/>
        <w:rPr>
          <w:sz w:val="20"/>
          <w:szCs w:val="20"/>
          <w:color w:val="auto"/>
        </w:rPr>
      </w:pPr>
    </w:p>
    <w:p>
      <w:pPr>
        <w:ind w:right="3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have no general right under Cayman Islands law to inspect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obtain copies of our list of shareholders or our corporate records. However, we will provide our shareholders with annual audited financial statements.</w:t>
      </w:r>
    </w:p>
    <w:p>
      <w:pPr>
        <w:sectPr>
          <w:pgSz w:w="11900" w:h="16838" w:orient="portrait"/>
          <w:cols w:equalWidth="0" w:num="1">
            <w:col w:w="9920"/>
          </w:cols>
          <w:pgMar w:left="980" w:top="513" w:right="99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30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Additional Shares. </w:t>
      </w:r>
      <w:r>
        <w:rPr>
          <w:rFonts w:ascii="Times New Roman" w:cs="Times New Roman" w:eastAsia="Times New Roman" w:hAnsi="Times New Roman"/>
          <w:sz w:val="18"/>
          <w:szCs w:val="18"/>
          <w:color w:val="auto"/>
        </w:rPr>
        <w:t>Our tenth amended and restated memorandum of association authorizes our board of directors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 additional ordinary shares from time to time as our board of directors shall determine, to the extent of available authorized but unissued shares.</w:t>
      </w:r>
    </w:p>
    <w:p>
      <w:pPr>
        <w:spacing w:after="0" w:line="13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tenth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spacing w:after="0" w:line="135" w:lineRule="exact"/>
        <w:rPr>
          <w:sz w:val="20"/>
          <w:szCs w:val="20"/>
          <w:color w:val="auto"/>
        </w:rPr>
      </w:pPr>
    </w:p>
    <w:p>
      <w:pPr>
        <w:ind w:left="680" w:hanging="321"/>
        <w:spacing w:after="0"/>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2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1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117" w:lineRule="exact"/>
        <w:rPr>
          <w:sz w:val="20"/>
          <w:szCs w:val="20"/>
          <w:color w:val="auto"/>
        </w:rPr>
      </w:pPr>
    </w:p>
    <w:p>
      <w:pPr>
        <w:ind w:right="30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Anti-Takeover Provisions. </w:t>
      </w:r>
      <w:r>
        <w:rPr>
          <w:rFonts w:ascii="Times New Roman" w:cs="Times New Roman" w:eastAsia="Times New Roman" w:hAnsi="Times New Roman"/>
          <w:sz w:val="18"/>
          <w:szCs w:val="18"/>
          <w:color w:val="auto"/>
        </w:rPr>
        <w:t>Some provisions of our tenth amended and restated memorandum and articles of association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discourage, delay or prevent a change of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spacing w:after="0" w:line="136" w:lineRule="exact"/>
        <w:rPr>
          <w:sz w:val="20"/>
          <w:szCs w:val="20"/>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Exempted Company. </w:t>
      </w:r>
      <w:r>
        <w:rPr>
          <w:rFonts w:ascii="Times New Roman" w:cs="Times New Roman" w:eastAsia="Times New Roman" w:hAnsi="Times New Roman"/>
          <w:sz w:val="18"/>
          <w:szCs w:val="18"/>
          <w:color w:val="auto"/>
        </w:rPr>
        <w:t>We are an exempted company with limited liability under the Companies Act. The Companies 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distinguishes between ordinary resident companies and exempted companies. Any company that is registered in the Cayman Islands but conducts business mainly outside the Cayman Islands may apply to be registered as an exempted company. The requirements for an exempted company are essentially the same as for an ordinary company except that an exempted company:</w:t>
      </w:r>
    </w:p>
    <w:p>
      <w:pPr>
        <w:spacing w:after="0" w:line="153" w:lineRule="exact"/>
        <w:rPr>
          <w:sz w:val="20"/>
          <w:szCs w:val="20"/>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238" w:lineRule="exact"/>
        <w:rPr>
          <w:rFonts w:ascii="Times New Roman" w:cs="Times New Roman" w:eastAsia="Times New Roman" w:hAnsi="Times New Roman"/>
          <w:sz w:val="18"/>
          <w:szCs w:val="18"/>
          <w:color w:val="auto"/>
        </w:rPr>
      </w:pPr>
    </w:p>
    <w:p>
      <w:pPr>
        <w:ind w:left="680" w:right="20" w:hanging="321"/>
        <w:spacing w:after="0" w:line="297" w:lineRule="auto"/>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16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39" w:lineRule="exact"/>
        <w:rPr>
          <w:sz w:val="20"/>
          <w:szCs w:val="20"/>
          <w:color w:val="auto"/>
        </w:rPr>
      </w:pPr>
    </w:p>
    <w:p>
      <w:pPr>
        <w:ind w:right="380" w:firstLine="324"/>
        <w:spacing w:after="0" w:line="261"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10.C. Material Contracts</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this annual report during the two years immediately preceding the date of this annual report.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10.D. Exchange Controls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Cayman Islands currently has no exchange control regulations or currency restrictions.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10.E. Taxation</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following discussion of Cayman Islands, PRC and U.S. federal income tax consequences of the ownership and disposition of the ADSs or Class A ordinary shares is based upon laws and relevant interpretations thereof in effect as of the date of this annual report, all of which are subject to change. This discussion does not deal with all possible tax consequences relating to the ownership and disposition of the ADSs or Class A ordinary shares, such as the tax consequences under state, local and other tax laws. To the extent that the discussion relates to matters of Cayman Islands tax law, it represents the opinion of Walkers (Hong Kong), our Cayman Islands counsel. To the extent that the discussion relates to matters of PRC tax law, it represents the opinion of Haiwen &amp; Partners, our PRC legal counsel.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or holders of the ADSs or ordinary shares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8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Payments of dividends and capital in respect of the ADSs or Class A ordinary shares will not be subject to taxation in the Cayman Islands and no withholding will be required on the payment of a dividend or capital to any holder of the ADSs or Class A ordinary shares, nor will gains derived from the disposal of the ADSs or Class A ordinary shares be subject to Cayman Islands income or corporation tax.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Under the PRC EIT Law, which became effective on January 1, 2008 and was last amended on December 29, 2018, an enterprise established outside the PRC with “de facto management bodies” within the PRC is considered a “resident enterprise” for PRC enterprise income tax purposes and is generally subject to a uniform 25% enterprise income tax rate on its worldwide income. Under the implementation regulations to the PRC EIT Law, a “de facto management body” is defined as a body that has material and overall management and control over the manufacturing and business operations, personnel and human resources, finances and properties of an enterprise.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In addition, the STA Circular 82 issued by the STA in April 2009 and was amended in December 2017, specifies that certain offshore incorporated enterprises controlled by PRC enterprises or PRC enterprise groups will be classified as PRC resident enterprises if the following are located or resident in the PRC: (a) senior management personnel and departments that are responsible for daily production, operation and management; (b) financial and personnel decision making bodies; (c) key properties, accounting books, company seal, minutes of board meetings and shareholders’ meetings; and (d) half or more of the senior management or directors having voting rights. Further to STA Circular 82, the STA issued the Administrative Measures on Income Tax on Overseas Registered Chinese-funded Holding Resident Enterprises (Trial Implementation), or the STA Bulletin 45, which took effect in September 2011 and was last amended in June 2018, to provide more guidance on the implementation of STA Circular 82. STA Bulletin 45 provides for procedures and administration details of determination on resident status and administration on postdetermination­ matters. Our Company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As such, we do not believe that our company meets all of the conditions above and as a result we do not believe our company is a PRC resident enterprise for PRC tax purposes. For similar reasons, we believe our other entities outside of China are also not PRC resident enterprises. However, the tax resident status of an enterprise is subject to determination by the PRC tax authorities and uncertainties remain with respect to the interpretation of the term “de facto management body.” There can be no assurance that the PRC regulatory authority will ultimately take a view that is consistent with us. If the PRC tax authorities determine that our Cayman Islands holding company is a PRC resident enterprise for PRC enterprise income tax purposes, a number of unfavorable PRC tax consequences could follow. For example, a 10% withholding tax would be imposed on dividends we pay to our non-PRC enterprise shareholders (including the ADS holders), if such shareholders do not have an establishment or place of business in the PRC, or if they have such establishment or place of business in the PRC but the relevant income is not effectively connected with such establishment or place of business, to the extent such dividends have their sources within the PRC. In addition, non-resident enterprise shareholders (including the ADS holders) may be generally subject to PRC tax at a rate of 10% on gains realized on the sale or other disposition of ADSs or Class A ordinary shares, if such income is treated as sourced from within the PRC. Furthermore, if we are deemed a PRC resident enterprise, dividends paid to our non-PRC individual shareholders (including the ADS holders) and any gain realized on the transfer of ADSs or Class A ordinary shares by such shareholders may be subject to PRC tax at a rate of 20% (which, in the case of dividends, may be withheld at source). These rates may be generally reduced by an applicable tax treaty, but it is unclear whether non-PRC shareholders of our company would be able to obtain the benefits of any tax treaties between their country of tax residence and the PRC in the event that we are treated as a PRC resident enterprise.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following are material U.S. federal income tax consequences to you of the ownership and disposition of the ADSs or Class A ordinary shares, but this discussion does not purport to be a comprehensive description of all of the tax considerations that may be relevant to your decision to own the ADSs or Class A ordinary shares.</w:t>
      </w:r>
    </w:p>
    <w:p>
      <w:pPr>
        <w:spacing w:after="0" w:line="176"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This discussion applies to you only if you are a U.S. Holder (as defined below) and you hold the ADSs or underlying Class A ordinary shares as capital assets for U.S. federal income tax purposes. In addition, it does not describe all of the tax consequences that may be relevant in light of your particular circumstances, including any minimum tax, the Medicare contribution tax on net investment income and tax consequences applicable to you if you are subject to special rules, such as if you are:</w:t>
      </w:r>
    </w:p>
    <w:p>
      <w:pPr>
        <w:spacing w:after="0" w:line="180" w:lineRule="exact"/>
        <w:rPr>
          <w:sz w:val="20"/>
          <w:szCs w:val="20"/>
          <w:color w:val="auto"/>
        </w:rPr>
      </w:pPr>
    </w:p>
    <w:p>
      <w:pPr>
        <w:ind w:left="680" w:hanging="321"/>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electing trader in securities that uses a mark-to-market method of tax accounting;</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holds ADSs or Class A ordinary shares as part of a straddle, integrated or similar transaction;</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functional currency for U.S. federal income tax purposes is not the U.S. dollar;</w:t>
      </w:r>
    </w:p>
    <w:p>
      <w:pPr>
        <w:spacing w:after="0" w:line="2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classified as a partnership for U.S. federal income tax purposes or a partner or member thereof;</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 “individual retirement account” or “Roth IRA”;</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0" w:hanging="321"/>
        <w:spacing w:after="0" w:line="297" w:lineRule="auto"/>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owns directly, indirectly or constructively ADSs or Class A ordinary shares representing 10% or more of our stock by vote or value;</w:t>
      </w:r>
    </w:p>
    <w:p>
      <w:pPr>
        <w:spacing w:after="0" w:line="122" w:lineRule="exact"/>
        <w:rPr>
          <w:rFonts w:ascii="Times New Roman" w:cs="Times New Roman" w:eastAsia="Times New Roman" w:hAnsi="Times New Roman"/>
          <w:sz w:val="18"/>
          <w:szCs w:val="18"/>
          <w:color w:val="auto"/>
        </w:rPr>
      </w:pPr>
    </w:p>
    <w:p>
      <w:pPr>
        <w:ind w:left="680" w:right="640" w:hanging="321"/>
        <w:spacing w:after="0" w:line="297" w:lineRule="auto"/>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acquired the ADSs or our Class A ordinary shares pursuant to the exercise of an employee stock option or otherwise as compensation; or</w:t>
      </w:r>
    </w:p>
    <w:p>
      <w:pPr>
        <w:spacing w:after="0" w:line="12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holds ADSs or Class A ordinary shares in connection with a trade or business outside the United States.</w:t>
      </w:r>
    </w:p>
    <w:p>
      <w:pPr>
        <w:spacing w:after="0" w:line="21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If you are a partnership (or other entity classified as a partnership for U.S. federal income tax purposes) that owns ADSs or Class A ordinary shares, the U.S. federal income tax treatment of your partners will generally depend on their status and your activities. If you are a partnership that holds the ADSs or Class A ordinary shares you should consult your tax adviser as to the particular U.S. federal income tax consequences to you and your partners of owning and disposing of the ADSs or Class A ordinary shares.</w:t>
      </w:r>
    </w:p>
    <w:p>
      <w:pPr>
        <w:spacing w:after="0" w:line="13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based on the Internal Revenue Code of 1986, as amended (the “Code”), administrative pronouncements, judicial decisions, final, temporary and proposed Treasury regulations, and the income tax treaty between the United States and the PRC (the “Treaty”), all as of the date hereof, any of which is subject to change, possibly with retroactive effect. This discussion assumes that each obligation under the deposit agreement and any related agreement will be performed in accordance with its terms.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purposes of this discussion you are a “U.S. Holder” if you are, for U.S. federal income tax purposes, a beneficial owner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ADSs or Class A ordinary shares and:</w:t>
      </w:r>
    </w:p>
    <w:p>
      <w:pPr>
        <w:spacing w:after="0" w:line="180" w:lineRule="exact"/>
        <w:rPr>
          <w:sz w:val="20"/>
          <w:szCs w:val="20"/>
          <w:color w:val="auto"/>
        </w:rPr>
      </w:pPr>
    </w:p>
    <w:p>
      <w:pPr>
        <w:ind w:left="680" w:hanging="321"/>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98" w:lineRule="exact"/>
        <w:rPr>
          <w:rFonts w:ascii="Times New Roman" w:cs="Times New Roman" w:eastAsia="Times New Roman" w:hAnsi="Times New Roman"/>
          <w:sz w:val="18"/>
          <w:szCs w:val="18"/>
          <w:color w:val="auto"/>
        </w:rPr>
      </w:pPr>
    </w:p>
    <w:p>
      <w:pPr>
        <w:ind w:left="680" w:right="200" w:hanging="321"/>
        <w:spacing w:after="0" w:line="297" w:lineRule="auto"/>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spacing w:after="0" w:line="12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212"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In general, if you own the ADSs you will be treated as the owner of the underlying Class A ordinary shares represented by those ADSs for U.S. federal income tax purposes. Accordingly, no gain or loss will be recognized if you exchange your ADSs for the underlying Class A ordinary shares represented by those ADSs.</w:t>
      </w:r>
    </w:p>
    <w:p>
      <w:pPr>
        <w:spacing w:after="0" w:line="13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This discussion does not address the effects of any state, local or non-U.S. tax laws, or any U.S. federal taxes other than income taxes (such as U.S. federal estate or gift tax consequences). You should consult your tax adviser concerning the U.S. federal, state, local and non-U.S. tax consequences of owning and disposing of the ADSs or Class A ordinary shares in your particular circumstances.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0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In general, a non-U.S. corporation is a passive foreign investment company (“PFIC”) for U.S. federal income tax purposes for any taxable year in which (i) 75% or more of its gross income consists of passive income, or (ii) 50% or more of the average value of its assets (generally determined on a quarterly basis) consists of assets that produce, or are held for the production of, passive income. Passive income generally includes dividends, interest, investment gains and certain rents and royalties (other than rents and royalties that are derived in the active conduct of a business and meet certain requirements). Cash and cash equivalents are generally passive assets for these purposes. The value of a company’s goodwill and other intangibles are treated as active assets under the PFIC rules to the extent associated with business activities that produce active income. For purposes of the above calculations, under a look-through rule, a non-U.S. corporation that owns, directly or indirectly, at least 25% by value of the equity interests of another corporation is treated as if it held its proportionate share of the assets of the other corporation and received directly its proportionate share of the income of the other corporation.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Under the PFIC rules, assets are generally measured based on their fair market value. However, if a non-U.S. corporation is a controlled foreign corporation for U.S. federal income tax purposes (a “CFC”) that is not publicly traded, the assets of such non-publicly traded CFC are measured based on their adjusted tax basis, rather than their market value. The measurement rule described in the preceding sentence applies for purposes of determining the CFC’s own PFIC status, as well as the PFIC status of its direct or indirect publicly traded parent. Because certain of our shareholders or their related persons are U.S. persons who are expected to own more than 50% of our voting power, we and our subsidiaries are expected to be CFCs. Accordingly, for purposes of the PFIC rules Pony AI Inc.’s own assets will be measured based on their market value, but the assets of Pony AI Inc.’s subsidiaries that are CFCs will be measured by reference to the assets’ adjusted tax basis, if any, which may be significantly lower than the assets’ fair market value. Whether Pony AI Inc. is a PFIC for any taxable year may therefore depend, in part, on the extent to which the total value of our group’s goodwill and other intangible assets are owned by Pony AI Inc., rather than by our subsidiaries that are CFCs. We have not determined the extent to which our goodwill and other intangible assets are owned by Pony AI Inc., and do not maintain calculations of the adjusted tax basis of the assets of our subsidiaries for U.S. federal income tax purposes, which may make it difficult for us or our shareholders to determine whether we were a PFIC for our taxable year ended December 31, 2025 and whether we will be a PFIC for our current taxable year or any future taxable year. If the value of our goodwill and other intangible assets (determined, in large part, by reference to our market capitalization) were allocable in its entirety to Pony AI Inc., we believe we would not be treated a PFIC for 2025, but as described above there is substantial uncertainty in this respect. Furthermore, even if the value of our assets for purposes of the PFIC asset test is determined in whole or in part by reference to their fair market value, the fair market value of our goodwill and other intangible assets may be determined, in part, by reference to our market capitalization, which has been and may continue to be volatile. Therefore, because we hold a substantial amount of cash, there is a significant risk that we will be a PFIC for the current or any future taxable year if the fair market value of our goodwill and other intangible assets is determined by reference to our market capitalization and our market capitalization remains volatile or declines. Due to these uncertainties, there is a substantial risk that we will be a PFIC for any taxable year under the asset test.</w:t>
      </w:r>
    </w:p>
    <w:p>
      <w:pPr>
        <w:spacing w:after="0" w:line="2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currently have a substantial amount of investment income and our total gross income may vary from year to year. We may be a PFIC for any taxable year if our investment and other passive income for such taxable year constitutes 75% or more of our total gross income (as determined for U.S. federal income tax purposes) for such taxable year.</w:t>
      </w:r>
    </w:p>
    <w:p>
      <w:pPr>
        <w:spacing w:after="0" w:line="176"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Even if we are not a PFIC for any particular taxable year, we may be a PFIC for any other taxable year since our PFIC status is an annual factual determination that can be made only after the end of that year and will depend on the composition of our income and assets and the value of our assets from time to time.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reasons discussed above, there is a substantial risk that we will be a PFIC for any taxable year.</w:t>
      </w:r>
    </w:p>
    <w:p>
      <w:pPr>
        <w:spacing w:after="0" w:line="22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and any corporate non-U.S. entity in which we own or are deemed to own equity interests is also a PFIC (a “Lower-tier PFIC”), you will be deemed to own a proportionate amount (by value) of the shares of each Lower-tier PFIC and will be subject to U.S. federal income tax according to the rules described in the next paragraph on (i) certain distributions by the Lower-tier PFIC and (ii) dispositions of shares of the Lower-tier PFIC, in each case as if you held such shares directly, even though you will not receive any proceeds of those distributions or dispositions.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In general, if we are a PFIC for any taxable year during which you own the ADSs or Class A ordinary shares, gain recognized by you on a sale or other disposition (including certain pledges) of your ADSs or Class A ordinary shares will be allocated ratably over your holding period. The amounts allocated to the taxable year of the sale or disposition and to any year before we became a PFIC will be taxed as ordinary income. The amount allocated to each other taxable year will be subject to tax at the highest rate in effect for individuals or corporations, as appropriate, for that taxable year, and an interest charge will be imposed on the resulting tax liability for each such year. Furthermore, to the extent that distributions received by you in any taxable year on your ADSs or Class A ordinary shares exceed 125% of the average of the annual distributions on the ADSs or Class A ordinary shares received during the preceding three taxable years or your holding period, whichever is shorter, the excess distributions will be subject to taxation in the same manner. Under a rule commonly referred to as the “once a PFIC always a PFIC” rule, if we are a PFIC for any taxable year during which you own ADSs or Class A ordinary shares, we will generally continue to be treated as a PFIC with respect to you for all succeeding years during which you own the ADSs or Class A ordinary shares, even if we cease to meet the threshold requirements for PFIC status, unless you make a timely “deemed sale” election, in which case any gain on the deemed sale will be taxed under the PFIC rules described above.</w:t>
      </w:r>
    </w:p>
    <w:p>
      <w:pPr>
        <w:spacing w:after="0" w:line="17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 xml:space="preserve">Alternatively, if we are a PFIC and if the ADSs, or Class A ordinary shares, as applicable, are “regularly traded” on a “qualified exchange” (each as defined in applicable Treasury regulations), you may be able to make a mark-to-market election with respect to the ADSs or Class A ordinary shares that will result in tax treatment different from the general tax treatment for PFICs described in the preceding paragraph. The ADSs or Class A ordinary shares will be treated as regularly traded for any calendar year in which more than a </w:t>
      </w:r>
      <w:r>
        <w:rPr>
          <w:rFonts w:ascii="Times New Roman" w:cs="Times New Roman" w:eastAsia="Times New Roman" w:hAnsi="Times New Roman"/>
          <w:sz w:val="18"/>
          <w:szCs w:val="18"/>
          <w:i w:val="1"/>
          <w:iCs w:val="1"/>
          <w:color w:val="auto"/>
        </w:rPr>
        <w:t xml:space="preserve">de minimis </w:t>
      </w:r>
      <w:r>
        <w:rPr>
          <w:rFonts w:ascii="Times New Roman" w:cs="Times New Roman" w:eastAsia="Times New Roman" w:hAnsi="Times New Roman"/>
          <w:sz w:val="18"/>
          <w:szCs w:val="18"/>
          <w:color w:val="auto"/>
        </w:rPr>
        <w:t>quantity of the ADSs or Class A ordinary shares are traded on a qualified exchange on at least 15 days during each calendar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The Nasdaq, where the ADSs are currently listed, is a qualified exchange for this purpose. The Class A ordinary shares are listed on the Hong Kong Stock Exchange, which must meet certain trading, listing, financial disclosure and other requirements to be treated as a qualified exchange for this purpose. If you make the mark-to-market election, you generally will recognize as ordinary income any excess of the fair market value of the ADSs or Class A ordinary shares at the end of each taxable year over their adjusted tax basis, and will recognize an ordinary loss in respect of any excess of the adjusted tax basis of the ADSs or Class A ordinary shares over their fair market value at the end of the taxable year to the extent of the net amount of income previously included as a result of the mark-to-market election. If you make the election, your tax basis in the ADSs or Class A ordinary shares will be adjusted to reflect the income or loss amounts recognized. Any gain recognized on the sale or other disposition of ADSs or Class A ordinary shares in a taxable year in which we are a PFIC will be treated as ordinary income and any loss will be treated as an ordinary loss (but only to the extent of the net amount of income previously included as a result of the mark-to-market election, with any excess treated as capital loss). If you make the mark-to-market election, distributions paid on ADSs or Class A ordinary shares will be treated as discussed under “—Taxation of Distributions” below (but subject to the discussion in the following paragraph). Once made, the election will remain in effect for all taxable years in which we are a PFIC, unless it is revoked with the consent of the U.S. Internal Revenue Service (the “IRS”), or the ADSs or Class A ordinary shares cease to be regularly traded on a qualified exchange. There is no provision of law or official guidance that provides for a right to make a mark-to-market election with respect to any Lower-tier PFIC. As a result, if you make a mark-to-market election with respect to the ADSs or Class A ordinary shares, you could nevertheless be subject to the PFIC rules described in the preceding paragraph with respect to your indirect interest in any Lower-tier PFIC. You should consult your tax adviser regarding the availability and advisability of making a mark-to-market election in your particular circumstances if we are a PFIC for any taxable year.</w:t>
      </w:r>
    </w:p>
    <w:p>
      <w:pPr>
        <w:spacing w:after="0" w:line="205"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If we are a PFIC (or are treated as a PFIC with respect to you under the “once a PFIC always a PFIC” rule) for any taxable year in which we pay a dividend or the preceding taxable year, the favorable tax rate described below with respect to dividends paid to certain non-corporate U.S. Holders will not apply.</w:t>
      </w:r>
    </w:p>
    <w:p>
      <w:pPr>
        <w:spacing w:after="0" w:line="176"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We do not intend to provide information necessary to make “qualified electing fund” elections which, if available, would result in tax treatment different from the general tax treatment for PFICs described above.</w:t>
      </w:r>
    </w:p>
    <w:p>
      <w:pPr>
        <w:spacing w:after="0" w:line="16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If we are a PFIC for any taxable year during which you own ADSs or Class A ordinary shares, you will generally be required to file annual reports on IRS Form 8621. You should consult your tax adviser regarding our PFIC status for any taxable year and the potential application of the PFIC rules to your ownership of ADSs or Class A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discussion is subject to the discussion under “—Passive Foreign Investment Company Rules” above.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We currently do not intend to make distributions to our shareholders and ADS holders. Any distributions paid on the ADSs or Class A ordinary shares, other than certain pro rata distributions of ADSs or Class A ordinary shares, will be treated as dividends to the extent paid out of our current or accumulated earnings and profits, as determined under U.S. federal income tax principles. Because we do not maintain calculations of our earnings and profits under U.S. federal income tax law, it is expected that distributions generally will be reported to you as dividends. Dividends will not be eligible for a dividends received deduction. Because our ADSs are listed on the Nasdaq Global Select Market, if you are a non-corporate U.S. Holder of ADSs, dividends paid to you with respect to your ADSs may be taxable at a favorable rate, subject to applicable holding period and other requirements, and provided that we are not a PFIC (and are not treated as a PFIC with respect to a particular U.S. Holder under the “once a PFIC always a PFIC” rule) for our taxable year in which the dividend is paid or the preceding taxable year. Although our Class A ordinary shares are not traded on an established securities market in the United States, they are exchangeable for ADSs that are so traded, and for U.S. federal income tax purposes they are treated as the same class of shares as the ADSs. Therefore, it is not entirely clear whether dividends paid on Class A ordinary shares that are not represented by ADSs would be eligible for the favorable rate described above. If you are a non-corporate U.S. Holder you should consult your tax adviser regarding the availability of this favorable tax rate and any applicable limitations generally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taking into account whether we are or were a PFIC for any taxable year) and in your particular circumstances.</w:t>
      </w:r>
    </w:p>
    <w:p>
      <w:pPr>
        <w:spacing w:after="0" w:line="19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Dividends generally will be included in your income on the date of receipt by you (in the case of Class A ordinary shares) or by the depositary (in the case of ADSs). The amount of income with respect to a dividend paid in foreign currency will be the U.S. dollar amount calculated by reference to the spot rate in effect on the date of receipt, regardless of whether the payment is in fact converted into U.S. dollars on that date. If the dividend is converted into U.S. dollars on the date of receipt, you generally should not be required to recognize foreign currency gain or loss in respect of the amount received. You may have foreign currency gain or loss if the dividend is converted into U.S. dollars after the date of receipt.</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Dividends paid by a non-U.S. corporation are generally treated as foreign-source income for foreign tax credit purposes. However, under Section 904(h) of the Code dividends paid by a non-U.S. corporation that is at least 50% owned by U.S. persons (a “United States-owned foreign corporation”) may be treated as income derived from sources within the United States for foreign tax credit purposes to the extent the non-U.S. corporation has more than a specified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income from sources within the United States. We believe we are a United States owned foreign corporation and may continue to be one in the future. As a result, for any applicable taxable year for which we are a United States-owned foreign corporation, a portion of the dividends (if any) paid by us may be treated as U.S.-source income, which could adversely affect your foreign tax credit limitation (and, depending on your particular circumstances, may limit your ability to credit any PRC withholding tax on dividends against your U.S. federal income tax liability). You should consult your tax adviser regarding the impact of Section 904(h) of the Code on dividends, if any, that we pay with respect to the ADSs or Class A ordinary shares.</w:t>
      </w:r>
    </w:p>
    <w:p>
      <w:pPr>
        <w:spacing w:after="0" w:line="194"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As described in “—People’s Republic of China Taxation,” dividends paid by us may be subject to PRC withholding tax. For U.S. federal income tax purposes, the amount of the dividend income will include any amounts withheld in respect of PRC withholding tax. Subject to applicable limitations, which vary depending upon your circumstances, the discussion above regarding the possible application of Section 904(h) of the Code and the discussion below regarding certain Treasury regulations, PRC taxes withheld from dividend payments (at a rate not exceeding any rate applicable under the Treaty, if you are eligible for Treaty benefits) generally will be creditable against your U.S. federal income tax liability. The rules governing foreign tax credits are complex. For example, Treasury regulations provide that, in the absence of an election to apply the benefits of an applicable income tax treaty, in order for non-U.S. income taxes to be creditable, the relevant non-U.S. income tax rules must be consistent with certain U.S. federal income tax principles, and we have not determined whether the PRC income tax system meets this requirement. The IRS released notices that provide relief from certain of the provisions of the Treasury regulations described above for taxable years ending before the date that a notice or other guidance withdrawing or modifying the temporary relief is issued (or any later date specified in such notice or other guidance). You should consult your tax adviser regarding the creditability of foreign taxes in your particular circumstances. In lieu of claiming a credit, you may be able to elect to deduct creditable PRC taxes in computing your taxable income, subject to applicable limitations. An election to deduct foreign taxes instead of claiming foreign tax credits applies to all otherwise creditable foreign taxes paid or accrued in the relevant taxable year.</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ADSs or Class A Ordinary Shares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discussion is subject to the discussion under “—Passive Foreign Investment Company Rules” above.</w:t>
      </w:r>
    </w:p>
    <w:p>
      <w:pPr>
        <w:spacing w:after="0" w:line="22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You will generally recognize capital gain or loss on a sale or other taxable disposition of ADSs or Class A ordinary shares in an amount equal to the difference between the amount realized on the sale or disposition and your tax basis in the ADSs or Class A ordinary shares disposed of, in each case as determined in U.S. dollars. The gain or loss will be long-term capital gain or loss if, at the time of the sale or disposition, you have owned the ADSs or Class A ordinary shares for more than one year. If you are a non-corporate U.S. Holder, any long-term capital gains recognized by you will generally be subject to tax rates that are lower than those applicable to ordinary income. The deductibility of capital losses is subject to limitations.</w:t>
      </w:r>
    </w:p>
    <w:p>
      <w:pPr>
        <w:spacing w:after="0" w:line="187" w:lineRule="exact"/>
        <w:rPr>
          <w:sz w:val="20"/>
          <w:szCs w:val="20"/>
          <w:color w:val="auto"/>
        </w:rPr>
      </w:pPr>
    </w:p>
    <w:p>
      <w:pPr>
        <w:ind w:right="160" w:firstLine="324"/>
        <w:spacing w:after="0" w:line="252" w:lineRule="auto"/>
        <w:rPr>
          <w:sz w:val="20"/>
          <w:szCs w:val="20"/>
          <w:color w:val="auto"/>
        </w:rPr>
      </w:pPr>
      <w:r>
        <w:rPr>
          <w:rFonts w:ascii="Times New Roman" w:cs="Times New Roman" w:eastAsia="Times New Roman" w:hAnsi="Times New Roman"/>
          <w:sz w:val="18"/>
          <w:szCs w:val="18"/>
          <w:color w:val="auto"/>
        </w:rPr>
        <w:t>As described in “—People’s Republic of China Taxation,” gains on the sale of ADSs or Class A ordinary shares may be subject to PRC taxes. Under the Code, capital gains of U.S. persons are generally treated as U.S.-source income. However, if you are eligible for the benefits of the Treaty you may be able to elect to treat the gain as foreign-source income under the Treaty and claim foreign tax credits in respect of any PRC tax on a disposition. Treasury regulations generally preclude you from claiming a foreign tax credit with respect to PRC income taxes imposed on gains from dispositions of ADSs or Class A ordinary shares unless you are eligible for Treaty benefits and elect to apply them. The IRS released notices that provide relief from certain of the provisions of the Treasury regulations described above (including the limitation described in the preceding sentence) for taxable years ending before the date that a notice or other guidance withdrawing or modifying the temporary relief is issued (or any later date specified in such notice or other guidance). However, other limitations under the foreign tax credit rules may preclude you from claiming, in whole or in part, a foreign tax credit with respect to PRC income taxes on disposition gains. If you are precluded from claiming a foreign tax credit, it is possible that any PRC income taxes on disposition gains may either be deductible or reduce the amount realized on the disposition. You should consult your tax adviser regarding the consequences to you of the imposition of any PRC tax on disposition gains, including the Treaty’s resourcing rule, any reporting requirements with respect to a Treaty-based return position and the creditability or deductibility of any PRC tax on disposition gains in your particular circumstances (including any applicable limitations).</w:t>
      </w:r>
    </w:p>
    <w:p>
      <w:pPr>
        <w:spacing w:after="0" w:line="19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Any Hong Kong stamp duty imposed on dealings in our Class A ordinary shares or ADSs, as detailed under “Item 3. Key Information—3.D. Risk Factors—Risks Related to the Dual Listing -- There is uncertainty as to whether Hong Kong stamp duty will apply to the trading or conversion of the ADSs following our initial public offering in Hong Kong and listing of our Class A ordinary shares on the Stock Exchange,” will not be creditable against your U.S. federal income tax liability. However, Hong Kong stamp duty paid by you may increase your tax basis in the ADSs or Class A ordinary shares if you are a buyer of the securities, or reduce the amount of gain (or increase the amount of loss) recognized by you upon the sale or other disposition of the ADSs or Class A ordinary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U.S.-related financial intermediaries may be subject to information reporting and backup withholding, unless (i) you are a corporation or other “exempt recipient” and (ii) in the case of backup withholding, you provide a correct taxpayer identification number and certify that you are not subject to backup withholding. The amount of any backup withholding from a payment to you will be allowed as a credit against your U.S. federal income tax liability and may entitle you to a refund, provided that the required information is timely furnished to the IRS.</w:t>
      </w:r>
    </w:p>
    <w:p>
      <w:pPr>
        <w:spacing w:after="0" w:line="183"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If you are an individual or one of certain specified entities, you may be required to report information relating to your ownership of ADSs or Class A ordinary shares, or non-U.S. accounts through which your ADSs or Class A ordinary shares are held. You should consult your tax adviser regarding your reporting obligations with respect to the ADSs and Class A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10.F. Dividends and Paying Agents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10.G. Statement by Experts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10.H. Documents on Display</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previously filed with the SEC registration statement on Form F-1 (File Number 333-282700), as amended to register our Class A ordinary shares in relation to our initial public offering. We also filed with the SEC related registration statement on Form F-6 (File Number 333-283216) to register the ADSs representing our Class A ordinary shares.</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are subject to the periodic reporting and other informational requirements of the Exchange Act as applicable to foreign private issuers. Under the Exchange Act, we are required to file reports and other information with the SEC. Specifically, we are required to file annually a Form 20-F within four months after the end of each fiscal year. Copies of reports and other information, when so filed with the SEC, can be inspected and copied at the public reference facilities maintained by the SEC at 100 F Street N E, Room 1580, Washington, D.C. 20549. You can request copies of these documents, upon payment of a duplicating fee, by writing to the SEC. The public may obtain information regarding the Washington, D.C. Public Reference Room by calling the Commission at 1-800-SEC-0330. The SEC also maintains a web 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registrants that make electronic filings with the SEC using its EDGAR system. As a foreign private issuer, we are exempt from the rules of the Exchange Act prescribing the furnishing and content of quarterly reports and proxy statements, and our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9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will furnish Deutsche Bank Trust Company Americas, the depositary of the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10.I. Subsidiary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10.J. Annual Report to Security 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right="2440"/>
        <w:spacing w:after="0" w:line="503" w:lineRule="auto"/>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 Interest Rate Risk</w:t>
      </w: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Our exposure to interest rate risk primarily relates to the interest income generated by excess cash, which is mostly held in interest-bearing bank deposits. We have not used any derivative financial instruments to manage our interest risk exposure. Interest-earning instruments carry a degree of interest rate risk. We have not been exposed, nor do we anticipate being exposed, to material risks due to changes in interest rates. However, our future interest income may be lower than expected due to changes in market interest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29" w:lineRule="exact"/>
        <w:rPr>
          <w:sz w:val="20"/>
          <w:szCs w:val="20"/>
          <w:color w:val="auto"/>
        </w:rPr>
      </w:pPr>
    </w:p>
    <w:p>
      <w:pPr>
        <w:jc w:val="both"/>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functional currency of our foreign subsidiaries is the local currency or U.S. dollar depending on the nature of the subsidiaries’ activities.</w:t>
      </w:r>
    </w:p>
    <w:p>
      <w:pPr>
        <w:spacing w:after="0" w:line="162" w:lineRule="exact"/>
        <w:rPr>
          <w:sz w:val="20"/>
          <w:szCs w:val="20"/>
          <w:color w:val="auto"/>
        </w:rPr>
      </w:pPr>
    </w:p>
    <w:p>
      <w:pPr>
        <w:jc w:val="both"/>
        <w:ind w:right="140" w:firstLine="324"/>
        <w:spacing w:after="0" w:line="258" w:lineRule="auto"/>
        <w:rPr>
          <w:sz w:val="20"/>
          <w:szCs w:val="20"/>
          <w:color w:val="auto"/>
        </w:rPr>
      </w:pPr>
      <w:r>
        <w:rPr>
          <w:rFonts w:ascii="Times New Roman" w:cs="Times New Roman" w:eastAsia="Times New Roman" w:hAnsi="Times New Roman"/>
          <w:sz w:val="18"/>
          <w:szCs w:val="18"/>
          <w:color w:val="auto"/>
        </w:rPr>
        <w:t>Foreign currency transactions recognized in the consolidated statements of operations are converted to the functional currency by applying the exchange rate prevailing on the date of the transaction. Our results of operations and cash flows are subject to fluctuations due to changes in foreign currency exchange rates. To date, foreign currency transaction gains and losses have not been material to our consolidated financial statements, and we have not engaged in any foreign currency hedging strategies. As our international operations grow, we will continue to reassess our approach to manage our risk relating to fluctuations in currency rates.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other than its impact on the general economy. Nonetheless, if our costs were to become subject to inflationary pressures, we may not be able to fully offset such higher costs through price increases. Our inability or failure to do so could harm our business, financial condition and results of operations.</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tab/>
        <w:t>DESCRIPTION OF SECURITIES OTHER THAN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12.A. Debt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12.B. Warrants and Rights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12.C. Other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12.D. American Depositary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6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76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4"/>
                <w:szCs w:val="14"/>
                <w:b w:val="1"/>
                <w:bCs w:val="1"/>
                <w:color w:val="auto"/>
              </w:rPr>
              <w:t>Fees</w:t>
            </w:r>
          </w:p>
        </w:tc>
      </w:tr>
      <w:tr>
        <w:trPr>
          <w:trHeight w:val="191"/>
        </w:trPr>
        <w:tc>
          <w:tcPr>
            <w:tcW w:w="2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To any person to which ADSs are issued or to any person to</w:t>
            </w:r>
          </w:p>
        </w:tc>
        <w:tc>
          <w:tcPr>
            <w:tcW w:w="180" w:type="dxa"/>
            <w:vAlign w:val="bottom"/>
          </w:tcPr>
          <w:p>
            <w:pPr>
              <w:spacing w:after="0"/>
              <w:rPr>
                <w:sz w:val="16"/>
                <w:szCs w:val="16"/>
                <w:color w:val="auto"/>
              </w:rPr>
            </w:pPr>
          </w:p>
        </w:tc>
        <w:tc>
          <w:tcPr>
            <w:tcW w:w="4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Up to US$0.05 per ADS issued</w:t>
            </w: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which a distribution is made in respect of ADS distributions</w:t>
            </w:r>
          </w:p>
        </w:tc>
        <w:tc>
          <w:tcPr>
            <w:tcW w:w="180" w:type="dxa"/>
            <w:vAlign w:val="bottom"/>
          </w:tcPr>
          <w:p>
            <w:pPr>
              <w:spacing w:after="0"/>
              <w:rPr>
                <w:sz w:val="18"/>
                <w:szCs w:val="18"/>
                <w:color w:val="auto"/>
              </w:rPr>
            </w:pPr>
          </w:p>
        </w:tc>
        <w:tc>
          <w:tcPr>
            <w:tcW w:w="4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pursuant to stock dividends or other free distributions of stock,</w:t>
            </w:r>
          </w:p>
        </w:tc>
        <w:tc>
          <w:tcPr>
            <w:tcW w:w="180" w:type="dxa"/>
            <w:vAlign w:val="bottom"/>
          </w:tcPr>
          <w:p>
            <w:pPr>
              <w:spacing w:after="0"/>
              <w:rPr>
                <w:sz w:val="18"/>
                <w:szCs w:val="18"/>
                <w:color w:val="auto"/>
              </w:rPr>
            </w:pPr>
          </w:p>
        </w:tc>
        <w:tc>
          <w:tcPr>
            <w:tcW w:w="4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bonus distributions, stock splits or other distributions (except</w:t>
            </w:r>
          </w:p>
        </w:tc>
        <w:tc>
          <w:tcPr>
            <w:tcW w:w="180" w:type="dxa"/>
            <w:vAlign w:val="bottom"/>
          </w:tcPr>
          <w:p>
            <w:pPr>
              <w:spacing w:after="0"/>
              <w:rPr>
                <w:sz w:val="18"/>
                <w:szCs w:val="18"/>
                <w:color w:val="auto"/>
              </w:rPr>
            </w:pPr>
          </w:p>
        </w:tc>
        <w:tc>
          <w:tcPr>
            <w:tcW w:w="47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where converted to cash)</w:t>
            </w:r>
          </w:p>
        </w:tc>
        <w:tc>
          <w:tcPr>
            <w:tcW w:w="18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414"/>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Cancellation of ADSs, including the case of termination of the</w:t>
            </w:r>
          </w:p>
        </w:tc>
        <w:tc>
          <w:tcPr>
            <w:tcW w:w="18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cancelled</w:t>
            </w: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deposit agreement</w:t>
            </w:r>
          </w:p>
        </w:tc>
        <w:tc>
          <w:tcPr>
            <w:tcW w:w="180" w:type="dxa"/>
            <w:vAlign w:val="bottom"/>
          </w:tcPr>
          <w:p>
            <w:pPr>
              <w:spacing w:after="0"/>
              <w:rPr>
                <w:sz w:val="18"/>
                <w:szCs w:val="18"/>
                <w:color w:val="auto"/>
              </w:rPr>
            </w:pPr>
          </w:p>
        </w:tc>
        <w:tc>
          <w:tcPr>
            <w:tcW w:w="4760" w:type="dxa"/>
            <w:vAlign w:val="bottom"/>
          </w:tcPr>
          <w:p>
            <w:pPr>
              <w:spacing w:after="0"/>
              <w:rPr>
                <w:sz w:val="18"/>
                <w:szCs w:val="18"/>
                <w:color w:val="auto"/>
              </w:rPr>
            </w:pPr>
          </w:p>
        </w:tc>
      </w:tr>
      <w:tr>
        <w:trPr>
          <w:trHeight w:val="234"/>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Distribution of cash dividends</w:t>
            </w:r>
          </w:p>
        </w:tc>
        <w:tc>
          <w:tcPr>
            <w:tcW w:w="18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414"/>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Distribution of cash entitlements (other than cash dividends)</w:t>
            </w:r>
          </w:p>
        </w:tc>
        <w:tc>
          <w:tcPr>
            <w:tcW w:w="18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and/or cash proceeds from the sale of rights, securities and other</w:t>
            </w:r>
          </w:p>
        </w:tc>
        <w:tc>
          <w:tcPr>
            <w:tcW w:w="180" w:type="dxa"/>
            <w:vAlign w:val="bottom"/>
          </w:tcPr>
          <w:p>
            <w:pPr>
              <w:spacing w:after="0"/>
              <w:rPr>
                <w:sz w:val="18"/>
                <w:szCs w:val="18"/>
                <w:color w:val="auto"/>
              </w:rPr>
            </w:pPr>
          </w:p>
        </w:tc>
        <w:tc>
          <w:tcPr>
            <w:tcW w:w="47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entitlements</w:t>
            </w:r>
          </w:p>
        </w:tc>
        <w:tc>
          <w:tcPr>
            <w:tcW w:w="180" w:type="dxa"/>
            <w:vAlign w:val="bottom"/>
          </w:tcPr>
          <w:p>
            <w:pPr>
              <w:spacing w:after="0"/>
              <w:rPr>
                <w:sz w:val="20"/>
                <w:szCs w:val="20"/>
                <w:color w:val="auto"/>
              </w:rPr>
            </w:pPr>
          </w:p>
        </w:tc>
        <w:tc>
          <w:tcPr>
            <w:tcW w:w="4760" w:type="dxa"/>
            <w:vAlign w:val="bottom"/>
          </w:tcPr>
          <w:p>
            <w:pPr>
              <w:spacing w:after="0"/>
              <w:rPr>
                <w:sz w:val="20"/>
                <w:szCs w:val="20"/>
                <w:color w:val="auto"/>
              </w:rPr>
            </w:pPr>
          </w:p>
        </w:tc>
      </w:tr>
    </w:tbl>
    <w:p>
      <w:pPr>
        <w:spacing w:after="0" w:line="198" w:lineRule="exact"/>
        <w:rPr>
          <w:sz w:val="20"/>
          <w:szCs w:val="20"/>
          <w:color w:val="auto"/>
        </w:rPr>
      </w:pPr>
    </w:p>
    <w:p>
      <w:pPr>
        <w:sectPr>
          <w:pgSz w:w="11900" w:h="16838" w:orient="portrait"/>
          <w:cols w:equalWidth="0" w:num="1">
            <w:col w:w="9920"/>
          </w:cols>
          <w:pgMar w:left="980" w:top="513" w:right="999" w:bottom="1440" w:gutter="0" w:footer="0" w:header="0"/>
        </w:sectPr>
      </w:pPr>
    </w:p>
    <w:p>
      <w:pPr>
        <w:ind w:left="340" w:hanging="331"/>
        <w:spacing w:after="0"/>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ADSs pursuant to exercise of rights.</w:t>
      </w:r>
    </w:p>
    <w:p>
      <w:pPr>
        <w:spacing w:after="0" w:line="225" w:lineRule="exact"/>
        <w:rPr>
          <w:rFonts w:ascii="Times New Roman" w:cs="Times New Roman" w:eastAsia="Times New Roman" w:hAnsi="Times New Roman"/>
          <w:sz w:val="18"/>
          <w:szCs w:val="18"/>
          <w:color w:val="auto"/>
        </w:rPr>
      </w:pPr>
    </w:p>
    <w:p>
      <w:pPr>
        <w:ind w:left="340" w:hanging="331"/>
        <w:spacing w:after="0" w:line="282"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securities other than ADSs or rights to purchase additional ADSs</w:t>
      </w:r>
    </w:p>
    <w:p>
      <w:pPr>
        <w:spacing w:after="0" w:line="161" w:lineRule="exact"/>
        <w:rPr>
          <w:rFonts w:ascii="Times New Roman" w:cs="Times New Roman" w:eastAsia="Times New Roman" w:hAnsi="Times New Roman"/>
          <w:sz w:val="18"/>
          <w:szCs w:val="18"/>
          <w:color w:val="auto"/>
        </w:rPr>
      </w:pPr>
    </w:p>
    <w:p>
      <w:pPr>
        <w:ind w:left="340" w:hanging="331"/>
        <w:spacing w:after="0"/>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services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Up to US$0.05 per ADS held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US$0.05 per ADS held</w:t>
      </w:r>
    </w:p>
    <w:p>
      <w:pPr>
        <w:spacing w:after="0" w:line="200" w:lineRule="exact"/>
        <w:rPr>
          <w:sz w:val="20"/>
          <w:szCs w:val="20"/>
          <w:color w:val="auto"/>
        </w:rPr>
      </w:pPr>
    </w:p>
    <w:p>
      <w:pPr>
        <w:spacing w:after="0" w:line="24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Up to US$0.05 per ADS held on the applicable record date(s) established by the depositary bank</w:t>
      </w:r>
    </w:p>
    <w:p>
      <w:pPr>
        <w:spacing w:after="0" w:line="200" w:lineRule="exact"/>
        <w:rPr>
          <w:sz w:val="20"/>
          <w:szCs w:val="20"/>
          <w:color w:val="auto"/>
        </w:rPr>
      </w:pPr>
    </w:p>
    <w:p>
      <w:pPr>
        <w:sectPr>
          <w:pgSz w:w="11900" w:h="16838" w:orient="portrait"/>
          <w:cols w:equalWidth="0" w:num="2">
            <w:col w:w="4880" w:space="280"/>
            <w:col w:w="4760"/>
          </w:cols>
          <w:pgMar w:left="980" w:top="513" w:right="999" w:bottom="1440" w:gutter="0" w:footer="0" w:header="0"/>
          <w:type w:val="continuous"/>
        </w:sect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As an ADS holder, you will also be responsible for paying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176" w:lineRule="exact"/>
        <w:rPr>
          <w:sz w:val="20"/>
          <w:szCs w:val="20"/>
          <w:color w:val="auto"/>
        </w:rPr>
      </w:pPr>
    </w:p>
    <w:p>
      <w:pPr>
        <w:ind w:left="680" w:right="20" w:hanging="321"/>
        <w:spacing w:after="0" w:line="297" w:lineRule="auto"/>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the transfer and registration of ordinary shares charged by the registrar and transfer agent for the ordinary shares in the Cayman Islands (i.e., upon deposit and withdrawal of ordinary shares).</w:t>
      </w:r>
    </w:p>
    <w:p>
      <w:pPr>
        <w:spacing w:after="0" w:line="16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for converting foreign currency into U.S. dollars.</w:t>
      </w:r>
    </w:p>
    <w:p>
      <w:pPr>
        <w:spacing w:after="0" w:line="23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cable, telex and fax transmissions and for delivery of securities.</w:t>
      </w:r>
    </w:p>
    <w:p>
      <w:pPr>
        <w:spacing w:after="0" w:line="238" w:lineRule="exact"/>
        <w:rPr>
          <w:rFonts w:ascii="Times New Roman" w:cs="Times New Roman" w:eastAsia="Times New Roman" w:hAnsi="Times New Roman"/>
          <w:sz w:val="18"/>
          <w:szCs w:val="18"/>
          <w:color w:val="auto"/>
        </w:rPr>
      </w:pPr>
    </w:p>
    <w:p>
      <w:pPr>
        <w:ind w:left="680" w:right="840" w:hanging="321"/>
        <w:spacing w:after="0" w:line="297" w:lineRule="auto"/>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duties upon the transfer of securities, including any applicable stamp duties, any stock transfer charges or withholding taxes (i.e., when ordinary shares are deposited or withdrawn from deposit).</w:t>
      </w:r>
    </w:p>
    <w:p>
      <w:pPr>
        <w:spacing w:after="0" w:line="16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the delivery or servicing of ordinary shares on deposit.</w:t>
      </w:r>
    </w:p>
    <w:p>
      <w:pPr>
        <w:spacing w:after="0" w:line="238" w:lineRule="exact"/>
        <w:rPr>
          <w:rFonts w:ascii="Times New Roman" w:cs="Times New Roman" w:eastAsia="Times New Roman" w:hAnsi="Times New Roman"/>
          <w:sz w:val="18"/>
          <w:szCs w:val="18"/>
          <w:color w:val="auto"/>
        </w:rPr>
      </w:pPr>
    </w:p>
    <w:p>
      <w:pPr>
        <w:ind w:left="680" w:right="20" w:hanging="321"/>
        <w:spacing w:after="0" w:line="297" w:lineRule="auto"/>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complying with exchange control regulations and other regulatory requirements applicable to ordinary shares, deposited securities, ADSs and ADRs.</w:t>
      </w:r>
    </w:p>
    <w:p>
      <w:pPr>
        <w:spacing w:after="0" w:line="162"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fees and penalties thereon.</w:t>
      </w:r>
    </w:p>
    <w:p>
      <w:pPr>
        <w:spacing w:after="0" w:line="23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9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7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between Class A Ordinary Shares and ADSs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Dealings and Settlement of Class A Ordinary Shares in Hong Kong</w:t>
      </w:r>
    </w:p>
    <w:p>
      <w:pPr>
        <w:spacing w:after="0" w:line="18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Class A ordinary shares are traded on the Hong Kong Stock Exchange in board lots of 100 Class A ordinary shares. Dealings in our Class A ordinary shares on the Hong Kong Stock Exchange will be conducted in Hong Kong dollars.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transaction costs of dealings in our Class A ordinary shares on the Hong Kong Stock Exchange include:</w:t>
      </w:r>
    </w:p>
    <w:p>
      <w:pPr>
        <w:spacing w:after="0" w:line="225" w:lineRule="exact"/>
        <w:rPr>
          <w:sz w:val="20"/>
          <w:szCs w:val="20"/>
          <w:color w:val="auto"/>
        </w:rPr>
      </w:pPr>
    </w:p>
    <w:p>
      <w:pPr>
        <w:ind w:left="680" w:right="120" w:hanging="321"/>
        <w:spacing w:after="0" w:line="282"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Stock Exchange trading fee of 0.00565% of the consideration of the transaction, charged to each of the buyer and seller;</w:t>
      </w:r>
    </w:p>
    <w:p>
      <w:pPr>
        <w:sectPr>
          <w:pgSz w:w="11900" w:h="16838" w:orient="portrait"/>
          <w:cols w:equalWidth="0" w:num="1">
            <w:col w:w="9860"/>
          </w:cols>
          <w:pgMar w:left="980" w:top="513" w:right="1059" w:bottom="1440" w:gutter="0" w:footer="0" w:header="0"/>
        </w:sect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type w:val="continuous"/>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420" w:hanging="321"/>
        <w:spacing w:after="0" w:line="282" w:lineRule="auto"/>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and Futures Commission of Hong Kong transaction levy of 0.0027% of the consideration of the transaction, charged to each of the buyer and seller;</w:t>
      </w:r>
    </w:p>
    <w:p>
      <w:pPr>
        <w:spacing w:after="0" w:line="161" w:lineRule="exact"/>
        <w:rPr>
          <w:rFonts w:ascii="Times New Roman" w:cs="Times New Roman" w:eastAsia="Times New Roman" w:hAnsi="Times New Roman"/>
          <w:sz w:val="18"/>
          <w:szCs w:val="18"/>
          <w:color w:val="auto"/>
        </w:rPr>
      </w:pPr>
    </w:p>
    <w:p>
      <w:pPr>
        <w:ind w:left="680" w:right="540" w:hanging="321"/>
        <w:spacing w:after="0" w:line="282" w:lineRule="auto"/>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and Financial Reporting Council of Hong Kong transaction levy of 0.00015% of the consideration of the transaction, charged to each of the buyer and seller;</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deed stamp duty of HK$5.00 per transfer deed (if applicable), payable by the seller;</w:t>
      </w:r>
    </w:p>
    <w:p>
      <w:pPr>
        <w:spacing w:after="0" w:line="225" w:lineRule="exact"/>
        <w:rPr>
          <w:rFonts w:ascii="Times New Roman" w:cs="Times New Roman" w:eastAsia="Times New Roman" w:hAnsi="Times New Roman"/>
          <w:sz w:val="18"/>
          <w:szCs w:val="18"/>
          <w:color w:val="auto"/>
        </w:rPr>
      </w:pPr>
    </w:p>
    <w:p>
      <w:pPr>
        <w:ind w:left="680" w:right="280" w:hanging="321"/>
        <w:spacing w:after="0" w:line="282" w:lineRule="auto"/>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 valorem stamp duty at a total rate of 0.2% of the value of the transaction, with 0.1% payable by each of the buyer and the seller;</w:t>
      </w:r>
    </w:p>
    <w:p>
      <w:pPr>
        <w:spacing w:after="0" w:line="161" w:lineRule="exact"/>
        <w:rPr>
          <w:rFonts w:ascii="Times New Roman" w:cs="Times New Roman" w:eastAsia="Times New Roman" w:hAnsi="Times New Roman"/>
          <w:sz w:val="18"/>
          <w:szCs w:val="18"/>
          <w:color w:val="auto"/>
        </w:rPr>
      </w:pPr>
    </w:p>
    <w:p>
      <w:pPr>
        <w:ind w:left="680" w:right="400" w:hanging="321"/>
        <w:spacing w:after="0" w:line="282" w:lineRule="auto"/>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settlement fee, which is currently 0.002% of the gross transaction value, subject to a minimum fee of HK$2.00 and a maximum fee of HK$100.00 per side per trade;</w:t>
      </w:r>
    </w:p>
    <w:p>
      <w:pPr>
        <w:spacing w:after="0" w:line="161" w:lineRule="exact"/>
        <w:rPr>
          <w:rFonts w:ascii="Times New Roman" w:cs="Times New Roman" w:eastAsia="Times New Roman" w:hAnsi="Times New Roman"/>
          <w:sz w:val="18"/>
          <w:szCs w:val="18"/>
          <w:color w:val="auto"/>
        </w:rPr>
      </w:pPr>
    </w:p>
    <w:p>
      <w:pPr>
        <w:ind w:left="680" w:right="420" w:hanging="321"/>
        <w:spacing w:after="0" w:line="266" w:lineRule="auto"/>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commission, which is freely negotiable with the broker (other than brokerage commissions for IPO transactions which are currently set at 1% of the subscription or purchase price and will be payable by the person subscribing for or purchasing the securities); and</w:t>
      </w:r>
    </w:p>
    <w:p>
      <w:pPr>
        <w:spacing w:after="0" w:line="175" w:lineRule="exact"/>
        <w:rPr>
          <w:rFonts w:ascii="Times New Roman" w:cs="Times New Roman" w:eastAsia="Times New Roman" w:hAnsi="Times New Roman"/>
          <w:sz w:val="18"/>
          <w:szCs w:val="18"/>
          <w:color w:val="auto"/>
        </w:rPr>
      </w:pPr>
    </w:p>
    <w:p>
      <w:pPr>
        <w:ind w:left="680" w:right="60" w:hanging="321"/>
        <w:spacing w:after="0" w:line="261" w:lineRule="auto"/>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Hong Kong Share Registrar will charge between HK$2.50 to HK$20, depending on the speed of service (or such higher fee as may from time to time be permitted under the Hong Kong Listing Rules), for each transfer of ordinary shares from one registered owner to another, each share certificate canceled or issued by it and any applicable fee as stated in the share transfer forms used in Hong Kong.</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Investors in Hong Kong must settle their trades executed on the Stock Exchange through their brokers directly or through custodians. For an investor in Hong Kong who has deposited his/her Class A ordinary shares in his/her stock account or in his/her designated HKSCC participant’s stock account maintained with the Central Clearing and Settlement System established and operated by HKSCC (“CCASS”), settlement will be effected in CCASS in accordance with the General Rules of HKSCC and the operational procedures of HKSCC in effect from time to time. For an investor who holds the physical certificates, settlement certificates and the duly executed transfer forms must be delivered to his/her broker or custodian before the settlement date.</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An investor may arrange with his/her broker or custodian on a settlement date in respect of his/her trades executed on the Stock Exchange. Under the Hong Kong Listing Rules and the General Rules of HKSCC and the operational procedures of HKSCC in effect from time to time, the date of settlement must be the second settlement day (a day on which the settlement services of CCASS are open for use by HKSCC participants) following the trade date (T+2). For trades settled under CCASS, the General Rules of HKSCC and the operational procedures of HKSCC in effect from time to time provided that the defaulting broker may be compelled to compulsorily buy-in by HKSCC the day after the date of settlement (T+3), or if it is not practicable to do so on T+3, at any time thereafter. HKSCC may also impose fines from T+2 onwards.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Converting Class A Ordinary Shares Trading in Hong Kong to ADSs</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Depositary for our ADSs is Deutsche Bank Trust Company Americas, whose office is located at 1 Columbus Circle, New York, NY 10019, United States. The certificated ADSs are evidenced by certificates referred to as ADRs that are issued by the Depositary. Holders of Class A ordinary shares registered on the Hong Kong share register are able to convert these Class A ordinary shares into ADSs, and vice versa, subject to certain exceptions as provided herein, in particular that our Class A ordinary shares issued in the Global Offering will not be accepted by the Depositary for deposit in our existing ADR facility during the 40 days period from the closing of the Global Offering.</w:t>
      </w:r>
    </w:p>
    <w:p>
      <w:pPr>
        <w:spacing w:after="0" w:line="187" w:lineRule="exact"/>
        <w:rPr>
          <w:sz w:val="20"/>
          <w:szCs w:val="20"/>
          <w:color w:val="auto"/>
        </w:rPr>
      </w:pPr>
    </w:p>
    <w:p>
      <w:pPr>
        <w:jc w:val="both"/>
        <w:ind w:right="200" w:firstLine="324"/>
        <w:spacing w:after="0" w:line="261" w:lineRule="auto"/>
        <w:rPr>
          <w:sz w:val="20"/>
          <w:szCs w:val="20"/>
          <w:color w:val="auto"/>
        </w:rPr>
      </w:pPr>
      <w:r>
        <w:rPr>
          <w:rFonts w:ascii="Times New Roman" w:cs="Times New Roman" w:eastAsia="Times New Roman" w:hAnsi="Times New Roman"/>
          <w:sz w:val="18"/>
          <w:szCs w:val="18"/>
          <w:color w:val="auto"/>
        </w:rPr>
        <w:t>An investor who holds the Class A ordinary shares registered in Hong Kong and wishes to receive delivery of ADSs that trade on Nasdaq must deposit or have his/her broker deposit the Class A ordinary shares with the Depositary’s Hong Kong custodian, Deutsche Bank AG, Hong Kong Branch, as the custodian, in exchange for ADSs. A deposit of Class A ordinary shares trading in Hong Kong in exchange for ADSs involves the following procedures:</w:t>
      </w:r>
    </w:p>
    <w:p>
      <w:pPr>
        <w:spacing w:after="0" w:line="180" w:lineRule="exact"/>
        <w:rPr>
          <w:sz w:val="20"/>
          <w:szCs w:val="20"/>
          <w:color w:val="auto"/>
        </w:rPr>
      </w:pPr>
    </w:p>
    <w:p>
      <w:pPr>
        <w:ind w:right="180" w:firstLine="332"/>
        <w:spacing w:after="0" w:line="266" w:lineRule="auto"/>
        <w:tabs>
          <w:tab w:leader="none" w:pos="64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Class A ordinary shares have been deposited with CCASS, the investor must transfer Class A ordinary shares to the Depositary’s account with the custodian within CCASS by following the CCASS procedures for transfer and submit and deliver a duly completed and signed letter of transmittal to the custodian via his/her broker.</w:t>
      </w:r>
    </w:p>
    <w:p>
      <w:pPr>
        <w:sectPr>
          <w:pgSz w:w="11900" w:h="16838" w:orient="portrait"/>
          <w:cols w:equalWidth="0" w:num="1">
            <w:col w:w="9900"/>
          </w:cols>
          <w:pgMar w:left="980" w:top="513" w:right="101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32"/>
        <w:spacing w:after="0" w:line="266" w:lineRule="auto"/>
        <w:tabs>
          <w:tab w:leader="none" w:pos="64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Class A ordinary shares are held outside CCASS, the investor must arrange to deposit his/her Class A ordinary shares into the CCASS for delivery to the Depositary’s account with the custodian within CCASS, and must submit and deliver a duly completed and signed letter of transmittal to the custodian via his or her broker.</w:t>
      </w:r>
    </w:p>
    <w:p>
      <w:pPr>
        <w:spacing w:after="0" w:line="175" w:lineRule="exact"/>
        <w:rPr>
          <w:rFonts w:ascii="Times New Roman" w:cs="Times New Roman" w:eastAsia="Times New Roman" w:hAnsi="Times New Roman"/>
          <w:sz w:val="18"/>
          <w:szCs w:val="18"/>
          <w:color w:val="auto"/>
        </w:rPr>
      </w:pPr>
    </w:p>
    <w:p>
      <w:pPr>
        <w:ind w:right="60" w:firstLine="332"/>
        <w:spacing w:after="0" w:line="266" w:lineRule="auto"/>
        <w:tabs>
          <w:tab w:leader="none" w:pos="64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of its fees and expenses and of any taxes or charges, such as stamp taxes or stock transfer taxes or fees, if applicable and subject in all cases to the terms of the deposit agreement, the Depositary will register the corresponding number of ADSs in the name(s) requested by an investor and will deliver the ADSs as instructed in the letter of transmittal.</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For Class A ordinary shares deposited in CCASS, under normal circumstances, the above steps generally require two business days, provided that the investor has provided timely and complete instructions. For Class A ordinary shares held outside CCASS in physical form, the above steps may take 14 business days, or more, to complete. Temporary delays may arise. For example, the transfer books of the Depositary may from time to time be closed to ADS issuances. The investor will be unable to trade the ADSs until the procedures are completed.</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Converting ADSs to Class A Ordinary Shares trading in Hong Kong</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An investor who holds ADSs and wishes to convert his or her ADSs into Class A ordinary shares that trade on the Hong Kong Stock Exchange must cancel the ADSs the investor holds and withdraw the Class A ordinary shares from our ADS program and cause his/her broker or other financial institution to trade such Class A ordinary shares on the Hong Kong Stock Exchange. An investor that holds ADSs indirectly through a broker or other financial institution should follow the procedures of the broker or financial institution and instruct the broker to arrange for cancelation of the ADSs, and transfer of the underlying Class A ordinary shares from the Depositary’s account with the custodian within the CCASS to the investor’s Hong Kong stock account.</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investors holding ADSs directly, the following steps must be taken:</w:t>
      </w:r>
    </w:p>
    <w:p>
      <w:pPr>
        <w:spacing w:after="0" w:line="225" w:lineRule="exact"/>
        <w:rPr>
          <w:sz w:val="20"/>
          <w:szCs w:val="20"/>
          <w:color w:val="auto"/>
        </w:rPr>
      </w:pPr>
    </w:p>
    <w:p>
      <w:pPr>
        <w:ind w:right="240" w:firstLine="332"/>
        <w:spacing w:after="0" w:line="266" w:lineRule="auto"/>
        <w:tabs>
          <w:tab w:leader="none" w:pos="64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withdraw the Class A ordinary shares from our ADS program, an investor who holds ADSs may turn in such ADSs at the office of the Depositary (and the applicable ADR(s) if the ADSs are held in certificated form), and send an instruction to cancel such ADSs to the Depositary. Those instructions must have a Medallion signature guarantee.</w:t>
      </w:r>
    </w:p>
    <w:p>
      <w:pPr>
        <w:spacing w:after="0" w:line="175" w:lineRule="exact"/>
        <w:rPr>
          <w:rFonts w:ascii="Times New Roman" w:cs="Times New Roman" w:eastAsia="Times New Roman" w:hAnsi="Times New Roman"/>
          <w:sz w:val="18"/>
          <w:szCs w:val="18"/>
          <w:color w:val="auto"/>
        </w:rPr>
      </w:pPr>
    </w:p>
    <w:p>
      <w:pPr>
        <w:jc w:val="both"/>
        <w:ind w:right="80" w:firstLine="332"/>
        <w:spacing w:after="0" w:line="266" w:lineRule="auto"/>
        <w:tabs>
          <w:tab w:leader="none" w:pos="64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or net of its fees and expenses and of any taxes or charges, such as stamp taxes or stock transfer taxes or fees, if applicable, and subject in all cases to the terms of the deposit agreement, the Depositary will instruct the custodian to deliver the Shares underlying the canceled ADSs to the CCASS account designated by the investor.</w:t>
      </w:r>
    </w:p>
    <w:p>
      <w:pPr>
        <w:spacing w:after="0" w:line="175" w:lineRule="exact"/>
        <w:rPr>
          <w:rFonts w:ascii="Times New Roman" w:cs="Times New Roman" w:eastAsia="Times New Roman" w:hAnsi="Times New Roman"/>
          <w:sz w:val="18"/>
          <w:szCs w:val="18"/>
          <w:color w:val="auto"/>
        </w:rPr>
      </w:pPr>
    </w:p>
    <w:p>
      <w:pPr>
        <w:jc w:val="both"/>
        <w:ind w:right="240" w:firstLine="332"/>
        <w:spacing w:after="0" w:line="261" w:lineRule="auto"/>
        <w:tabs>
          <w:tab w:leader="none" w:pos="64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investor prefers to receive Class A ordinary shares outside CCASS, he or she must receive Class A ordinary shares in CCASS first and then arrange for withdrawal of the Class A ordinary shares from CCASS. Investors can then obtain a transfer form signed by HKSCC Nominees Limited (as the transferor) and register Class A ordinary shares in their own names with the Hong Kong Share Registrar.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For Class A ordinary shares to be received in CCASS, under normal circumstances, the above steps generally require two business days, provided that the investor has provided timely and complete instructions. For Class A ordinary shares to be received outside CCASS in physical form, the above steps may take 14 business days, or more, to complete. The investor will be unable to trade the ordinary shares on the Hong Kong Stock Exchange until the procedures are completed. Temporary delays may arise. For example, the transfer books of the Depositary may from time to time be closed to ADS cancelations. In addition, completion of the above steps and procedures for delivery of Class A ordinary shares in a CCASS account is subject to there being a sufficient number of Class A ordinary shares on the Hong Kong share register to facilitate a withdrawal from the ADS program directly into the CCASS. We are not under any obligation to maintain or increase the number of Class A ordinary shares on the Hong Kong share register to facilitate such withdrawals.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Depositary requirements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Before the Depositary delivers ADSs or permits withdrawal of the Class A Shares, the Depositary may require:</w:t>
      </w:r>
    </w:p>
    <w:p>
      <w:pPr>
        <w:spacing w:after="0" w:line="225"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of satisfactory proof of the identity and genuineness of any signature or other information it deems necessary; and</w:t>
      </w:r>
    </w:p>
    <w:p>
      <w:pPr>
        <w:spacing w:after="0" w:line="225" w:lineRule="exact"/>
        <w:rPr>
          <w:rFonts w:ascii="Times New Roman" w:cs="Times New Roman" w:eastAsia="Times New Roman" w:hAnsi="Times New Roman"/>
          <w:sz w:val="18"/>
          <w:szCs w:val="18"/>
          <w:color w:val="auto"/>
        </w:rPr>
      </w:pPr>
    </w:p>
    <w:p>
      <w:pPr>
        <w:ind w:right="460" w:firstLine="332"/>
        <w:spacing w:after="0" w:line="282" w:lineRule="auto"/>
        <w:tabs>
          <w:tab w:leader="none" w:pos="64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procedures it may establish, from time to time, consistent with the deposit agreement, including, but not limited to, completion and presentation of transfer documents.</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Depositary may refuse to deliver, transfer, or register issuances, transfers and cancelations of ADSs generally when the transfer books of the Depositary or of the Hong Kong Share Registrar or Cayman share register are closed or at any time if the Depositary or we determine it advisable to do so, subject to such refusal complying with U.S. federal securities laws.</w:t>
      </w:r>
    </w:p>
    <w:p>
      <w:pPr>
        <w:spacing w:after="0" w:line="176"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All costs attributable to the transfer of the Class A ordinary shares to effect a withdrawal from or deposit of the Class A ordinary shares into our ADS program will be borne by the investor requesting the transfer or deposit. In particular, holders of Class A ordinary shares and ADSs should note that the Hong Kong Share Registrar will charge between HK$2.50 to HK$20, depending on the speed of service (or such higher fee as may from time to time be permitted under the Hong Kong Listing Rules), for each transfer of the Class A ordinary shares from one registered owner to another, each share certificate canceled or issued by it and any applicable fee as stated in the share transfer forms used in Hong Kong. In addition, holders of the Class A ordinary shares and ADSs must pay up to US$5.00 per 100 ADSs (or portion thereof) for each issuance of ADSs and each cancelation of ADSs, as the case may be, in connection with the deposit of the Class A ordinary shares into, or withdrawal of the Class A ordinary shares from, the ADS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tab/>
        <w:t>DEFAULTS, DIVIDEND ARREARAGES AND DELINQUENCIES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right="580"/>
        <w:spacing w:after="0" w:line="503" w:lineRule="auto"/>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 14.A. – 14.D. Material Modifications to the Rights of Security Holders</w:t>
      </w:r>
    </w:p>
    <w:p>
      <w:pPr>
        <w:ind w:left="340"/>
        <w:spacing w:after="0"/>
        <w:rPr>
          <w:sz w:val="20"/>
          <w:szCs w:val="20"/>
          <w:color w:val="auto"/>
        </w:rPr>
      </w:pPr>
      <w:r>
        <w:rPr>
          <w:rFonts w:ascii="Times New Roman" w:cs="Times New Roman" w:eastAsia="Times New Roman" w:hAnsi="Times New Roman"/>
          <w:sz w:val="18"/>
          <w:szCs w:val="18"/>
          <w:color w:val="auto"/>
        </w:rPr>
        <w:t>See “Item 10. Additional Information” for a description of the rights of shareholders, which remain unchanged.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14.E. Use of Proceeds</w:t>
      </w:r>
    </w:p>
    <w:p>
      <w:pPr>
        <w:spacing w:after="0" w:line="229" w:lineRule="exact"/>
        <w:rPr>
          <w:sz w:val="20"/>
          <w:szCs w:val="20"/>
          <w:color w:val="auto"/>
        </w:rPr>
      </w:pPr>
    </w:p>
    <w:p>
      <w:pPr>
        <w:ind w:right="20" w:firstLine="324"/>
        <w:spacing w:after="0" w:line="277" w:lineRule="auto"/>
        <w:rPr>
          <w:sz w:val="20"/>
          <w:szCs w:val="20"/>
          <w:color w:val="auto"/>
        </w:rPr>
      </w:pPr>
      <w:r>
        <w:rPr>
          <w:rFonts w:ascii="Times New Roman" w:cs="Times New Roman" w:eastAsia="Times New Roman" w:hAnsi="Times New Roman"/>
          <w:sz w:val="17"/>
          <w:szCs w:val="17"/>
          <w:color w:val="auto"/>
        </w:rPr>
        <w:t>The following “Use of Proceeds” information relates to the registration statement on Form F-1 (File No. 333-282700), as amended, which registered 20,000,000 Class A ordinary shares represented by 20,000,000 ADSs issued and sold by us, at a public offering price of US$13.00 per ADS for a total offering size of approximately US$260.0 million, and was declared effective by the SEC on November 26, 2024, for our initial public offering, which was completed in November 2024. Goldman Sachs (Asia) L.L.C., Merrill Lynch (Asia Pacific) Limited, Deutsche Bank AG, Hong Kong Branch and Huatai Securities (USA), Inc. were the representatives of the underwriters.</w:t>
      </w:r>
    </w:p>
    <w:p>
      <w:pPr>
        <w:spacing w:after="0" w:line="168"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For the period from November 26, 2024, the date that the registration statement on Form F-1 was declared effective by the SEC to December 31, 2025, the total expenses incurred for our company’s account in connection with our initial public offering was approximately US$20.5 million, which included US$12.9 million in underwriting discounts and commissions for the initial public offering and approximately US$7.6 million in other costs and expenses for our initial public offering. We received net proceeds of approximately US$417.8 million from our initial public offering and the concurrent private placements in November 2024. None of the transaction expenses included payments to directors or officers of our company or their associates, persons owning more than 10% or more of our equity securities or our affiliates. None of the net proceeds from the initial public offering and the concurrent private placements were paid, directly or indirectly, to any of our directors or officers or their associates, persons owning 10% or more of our equity securities or our affiliates.</w:t>
      </w:r>
    </w:p>
    <w:p>
      <w:pPr>
        <w:spacing w:after="0" w:line="188"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For the period from November 26, 2024, the date that the registration statement on Form F-1 was declared effective by the SEC, to December 31, 2025, we used approximately US$129.9 million of the net proceeds received from our initial public offering and the concurrent private placements for investment in technology and product development, expanding our branding and marketing efforts, further growing our user base and for other general corporate purpose.</w:t>
      </w:r>
    </w:p>
    <w:p>
      <w:pPr>
        <w:spacing w:after="0" w:line="180"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We still intend to use the remainder of the net proceeds from our initial public offering and the concurrent private placements as disclosed in our registration statements on Form F-1.</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tab/>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Based upon that evaluation, our management has concluded that, as of December 31, 2025, our disclosure controls and procedures were effective in ensuring that the information required to be disclosed by us in the reports that we file or submit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to allow timely decisions regarding required disclosure.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our financial reporting and the preparation of financial statements for external purposes in accordance with U.S. GAAP and includes those policies and procedures that (i) pertain to the maintenance of records that, in reasonable detail, accurately and fairly reflect the transactions and dispositions of the assets of our company; (ii) provide reasonable assurance that transactions are recorded as necessary to permit preparation of consolidated financial statements in accordance with GAAP, and that receipts and expenditures of our company are being made only in accordance with authorizations of our management and directors; and (iii) provide reasonable assurance regarding prevention or timely detection of the unauthorized acquisition, use or disposition of our company’s assets that could have a material effect on the consolidated financial statements.</w:t>
      </w:r>
    </w:p>
    <w:p>
      <w:pPr>
        <w:spacing w:after="0" w:line="18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As required by Section 404 of the Sarbanes-Oxley Act of 2002 and related rules as promulgated by the Securities and Exchange Commission, our management, including our Chief Financial Officer, assessed the effectiveness of internal control over financial reporting as of December 31, 2025 using the criteria set forth in the report “Internal Control—Integrated Framework (2013)” published by the Committee of Sponsoring Organizations of the Treadway Commission. Based on this evaluation, management concluded that our internal control over financial reporting was effective as of December 31, 2025.</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of our internal control over financial reporting to future periods are subject to the risks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Deloitte Touche Tohmatsu Certified Public Accountants LLP, has audited the effectiveness of our internal control over financial reporting as of December 31, 2025, as stated in its report, which appears on page F-4 of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period covered by this annual report on Form 20-F that have materially affected, or that are reasonably likely to materially affect, our internal control over financial reporting.</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tab/>
        <w:t>[RESERVED]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has determined that Dr. Mark Qiu, an independent director (under the standards set forth in NASDAQ Stock Market Rule 5605(a)(2) and Rule 10A-3 under the Exchange Act) and a member of our audit committee, qualifies as an “audit committee financial expert” within the meaning of the SEC rules and possesses financial sophistication within the meaning of Listing Rules of the Nasdaq.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October 23, 2025, our board of directors has adopted an amended version of code of business conduct and ethics that applies to all of our directors, officers, employees, including certain provisions that specifically apply to our principal executive officer, principal financial officer, principal accounting officer or controller and any other persons who perform similar functions for us. We have filed our code of business conduct and ethics, as amended, as Exhibit 11.1 to this annual report on Form 20-F and posted a copy of our code of business conduct and ethics on our website at </w:t>
      </w:r>
      <w:r>
        <w:rPr>
          <w:rFonts w:ascii="Times New Roman" w:cs="Times New Roman" w:eastAsia="Times New Roman" w:hAnsi="Times New Roman"/>
          <w:sz w:val="18"/>
          <w:szCs w:val="18"/>
          <w:i w:val="1"/>
          <w:iCs w:val="1"/>
          <w:color w:val="auto"/>
        </w:rPr>
        <w:t>ir.pony.ai</w:t>
      </w:r>
      <w:r>
        <w:rPr>
          <w:rFonts w:ascii="Times New Roman" w:cs="Times New Roman" w:eastAsia="Times New Roman" w:hAnsi="Times New Roman"/>
          <w:sz w:val="18"/>
          <w:szCs w:val="18"/>
          <w:color w:val="auto"/>
        </w:rPr>
        <w:t>. We hereby undertake to provide any person without charge, a copy of our code of business conduct and ethics within ten working days after we receive such person’s written request.</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740"/>
        <w:spacing w:after="0" w:line="417" w:lineRule="auto"/>
        <w:rPr>
          <w:sz w:val="20"/>
          <w:szCs w:val="20"/>
          <w:color w:val="auto"/>
        </w:rPr>
      </w:pPr>
      <w:r>
        <w:rPr>
          <w:rFonts w:ascii="Times New Roman" w:cs="Times New Roman" w:eastAsia="Times New Roman" w:hAnsi="Times New Roman"/>
          <w:sz w:val="18"/>
          <w:szCs w:val="18"/>
          <w:b w:val="1"/>
          <w:bCs w:val="1"/>
          <w:color w:val="auto"/>
        </w:rPr>
        <w:t>ITEM 16C. PRINCIPAL ACCOUNTANT FEES AND SERVICES Auditor Fees</w:t>
      </w:r>
    </w:p>
    <w:p>
      <w:pPr>
        <w:jc w:val="both"/>
        <w:ind w:right="440" w:firstLine="324"/>
        <w:spacing w:after="0" w:line="312" w:lineRule="auto"/>
        <w:rPr>
          <w:sz w:val="20"/>
          <w:szCs w:val="20"/>
          <w:color w:val="auto"/>
        </w:rPr>
      </w:pPr>
      <w:r>
        <w:rPr>
          <w:rFonts w:ascii="Times New Roman" w:cs="Times New Roman" w:eastAsia="Times New Roman" w:hAnsi="Times New Roman"/>
          <w:sz w:val="17"/>
          <w:szCs w:val="17"/>
          <w:color w:val="auto"/>
        </w:rPr>
        <w:t>The following table sets forth the aggregate fees by categories specified below in connection with certain professional services rendered by Deloitte Touche Tohmatsu Certified Public Accountants LLP, our principal external auditors, for the periods indicated.</w:t>
      </w:r>
    </w:p>
    <w:p>
      <w:pPr>
        <w:spacing w:after="0" w:line="14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800" w:type="dxa"/>
            <w:vAlign w:val="bottom"/>
            <w:gridSpan w:val="2"/>
          </w:tcPr>
          <w:p>
            <w:pPr>
              <w:ind w:left="46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gridSpan w:val="5"/>
          </w:tcPr>
          <w:p>
            <w:pPr>
              <w:jc w:val="right"/>
              <w:ind w:right="337"/>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6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28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Audit Fees and Audit-related Fees</w:t>
            </w:r>
            <w:r>
              <w:rPr>
                <w:rFonts w:ascii="Times New Roman" w:cs="Times New Roman" w:eastAsia="Times New Roman" w:hAnsi="Times New Roman"/>
                <w:sz w:val="25"/>
                <w:szCs w:val="25"/>
                <w:color w:val="auto"/>
                <w:vertAlign w:val="superscript"/>
              </w:rPr>
              <w:t>(1)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2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5"/>
                <w:szCs w:val="25"/>
                <w:color w:val="auto"/>
                <w:vertAlign w:val="superscript"/>
              </w:rPr>
              <w:t>(2)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6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1,569</w:t>
            </w: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0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47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460" w:right="60" w:hanging="452"/>
        <w:spacing w:after="0" w:line="283" w:lineRule="auto"/>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Audit Fees and Audit-related Fees </w:t>
      </w:r>
      <w:r>
        <w:rPr>
          <w:rFonts w:ascii="Times New Roman" w:cs="Times New Roman" w:eastAsia="Times New Roman" w:hAnsi="Times New Roman"/>
          <w:sz w:val="18"/>
          <w:szCs w:val="18"/>
          <w:color w:val="auto"/>
        </w:rPr>
        <w:t>Audit fees means the aggregate fees billed for professional services rendered by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auditors for the audit of the Group’s annual financial statements. Audit-related fees are fees billed by the auditor for assurance and related services that are reasonably related to the performance of the audit and review of the Group’s financial statements.</w:t>
      </w:r>
    </w:p>
    <w:p>
      <w:pPr>
        <w:spacing w:after="0" w:line="104" w:lineRule="exact"/>
        <w:rPr>
          <w:rFonts w:ascii="Times New Roman" w:cs="Times New Roman" w:eastAsia="Times New Roman" w:hAnsi="Times New Roman"/>
          <w:sz w:val="18"/>
          <w:szCs w:val="18"/>
          <w:color w:val="auto"/>
        </w:rPr>
      </w:pPr>
    </w:p>
    <w:p>
      <w:pPr>
        <w:ind w:left="440" w:right="340" w:hanging="432"/>
        <w:spacing w:after="0" w:line="300" w:lineRule="auto"/>
        <w:tabs>
          <w:tab w:leader="none" w:pos="4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Fees</w:t>
      </w:r>
      <w:r>
        <w:rPr>
          <w:rFonts w:ascii="Times New Roman" w:cs="Times New Roman" w:eastAsia="Times New Roman" w:hAnsi="Times New Roman"/>
          <w:sz w:val="18"/>
          <w:szCs w:val="18"/>
          <w:color w:val="auto"/>
        </w:rPr>
        <w:t>. Tax fees mean the aggregate fees billed in each of the fiscal years for professional services rendered by our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auditors for tax compliance and tax advices.</w:t>
      </w:r>
    </w:p>
    <w:p>
      <w:pPr>
        <w:spacing w:after="0" w:line="79"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auto"/>
        </w:rPr>
        <w:t xml:space="preserve">The policy of our audit committee is to pre-approve all audit and non-audit services provided by Deloitte Touche Tohmatsu Certified Public Accountants LLP, our independent registered public accounting firm, including audit services and other services as described above, other than those for </w:t>
      </w:r>
      <w:r>
        <w:rPr>
          <w:rFonts w:ascii="Times New Roman" w:cs="Times New Roman" w:eastAsia="Times New Roman" w:hAnsi="Times New Roman"/>
          <w:sz w:val="17"/>
          <w:szCs w:val="17"/>
          <w:i w:val="1"/>
          <w:iCs w:val="1"/>
          <w:color w:val="auto"/>
        </w:rPr>
        <w:t>de minimus</w:t>
      </w:r>
      <w:r>
        <w:rPr>
          <w:rFonts w:ascii="Times New Roman" w:cs="Times New Roman" w:eastAsia="Times New Roman" w:hAnsi="Times New Roman"/>
          <w:sz w:val="17"/>
          <w:szCs w:val="17"/>
          <w:color w:val="auto"/>
        </w:rPr>
        <w:t xml:space="preserve"> services which are approved by the audit committee prior to the completion of the audit.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162"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Neither we nor any “affiliated purchaser,” as defined in Rule 10b-18(a)(3) of the Exchange Act, purchased any of our equity securities during the period covered by this annual report.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162"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As a Cayman Islands exempted company listed on Nasdaq, we are subject to the Nasdaq corporate governance listing standards.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We currently follow our home country practice that: (i) does not require that a majority of our board of directors satisfy the “independence” requirements of Rule 5605 of Nasdaq Stock Market Rules, (ii) does not require each member of our compensation committee and nomination committee to be an independent director, (iii) does not require that director nominees be either selected or recommended by independent directors, (iv) does not necessarily require us to seek shareholder approval prior to the issuance of securities in connection with the acquisition of stock or assets of another company, and (v) does not require us to seek shareholders’ approval for amending our adopted share incentive plans, expect for amendment that require shareholders’ approval under the Hong Kong Listing Rules. In the future, we may rely on other exemptions provided by Nasdaq to the extent also allowed under the laws and regulations in Hong Kong (including the Hong Kong Listing Rules). See “Item 3. Key Information—3.D. Risk Factors—Risks Related to the ADSs and Our Ordinary Shares—As an exempted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NASDAQ Stock Market Rule 5250(d)(1), we will post this annual report on Form 20-F on our company website at https://ir.pony.ai/. In addition, we will provide hard copies of our annual report free of charge to shareholders and ADS holders upon request.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16I.</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maintain insider trading policies and procedures governing the purchase, sale, and/or other dispositions of our company’s securities by directors, officers, employees and relevant persons that we believe are reasonably designed to promote compliance with insider trading laws, rules, and regulations, as well as Nasdaq listing standards and the Hong Kong Stock Exchange relating to insider trading. A copy of our insider trading policy, as amended, is filed as exhibit 11.2 to this annual report on Form 20-F.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Cybersecurity risk management is an integral part of our overall risk management program. Our cybersecurity risk management program is designed to align with industry best practices and provide a framework for handling cybersecurity threats and incidents, including threats and incidents associated with the use of applications developed or services provided by third-party service providers, and facilitate coordination across different departments of our company. This framework includes steps for assessing the severity of a cybersecurity threat, identifying the source of a cybersecurity threat including whether the cybersecurity threat is associated with a third-party service provider, implementing cybersecurity countermeasures and mitigation strategies and informing management and our board of directors of material cybersecurity threats and incidents. Our cybersecurity team also engages third-party security experts for risk assessment and system enhancements. In addition, our cybersecurity team provides training to all employees annually.</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board of directors has overall oversight responsibility for our risk management, and is charged with oversight of our cybersecurity risk management program. The audit committee is responsible for ensuring that management has processes in place designed to identify and evaluate cybersecurity risks to which the company is exposed and implement processes and programs to manage cybersecurity risks and mitigate cybersecurity incidents. The audit committee also reports material cybersecurity risks to our full board of directors. Management is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 Our cybersecurity programs are under the direction of our chief technology officer who receives reports from our cybersecurity team and monitors the prevention, detection, mitigation, and remediation of cybersecurity incidents. Our chief executive officer and dedicated personnel are certified and experienced information systems security professionals and information security managers with years of experience. Management, including the chief technology officer and our cybersecurity team, regularly update the audit committee on the company’s cybersecurity programs, material cybersecurity risks and mitigation strategies and provide cybersecurity reports annually that cover, among other topics, third-party assessments of the company’s cybersecurity programs, developments in cybersecurity and updates to the company’s cybersecurity programs and mitigation strategies.</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of the date of this annual report, we did not identify any cybersecurity threats that had materially affected or were reasonably likely to materially affect our business strategy, results of operations, or financial condition. However, despite our efforts, we cannot eliminate all risks from cybersecurity threats, or provide assurances that we have not experienced an undetected cybersecurity incident. For more information about these risks, please see “Item 3. Key Information—3.D. Risk Factors—Risk Related to Our Business and Industry—Any error, bug, vulnerability, systems defect or failure, disruption or unauthorized access, such as cyber-attacks, to the servers, networks, IT infrastructure and data processing systems we rely on due to internal or external factors could diminish demand for our products and services, harm our business, our reputation, our financial condition and results of operations and subject us to liability” on page 33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17.</w:t>
        <w:tab/>
        <w:t>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18.</w:t>
        <w:tab/>
        <w:t>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consolidated financial statements of Pony AI Inc. are included at the end of this annual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9080" w:type="dxa"/>
            <w:vAlign w:val="bottom"/>
            <w:gridSpan w:val="27"/>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40"/>
        </w:trPr>
        <w:tc>
          <w:tcPr>
            <w:tcW w:w="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080" w:type="dxa"/>
            <w:vAlign w:val="bottom"/>
            <w:gridSpan w:val="27"/>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80" w:type="dxa"/>
            <w:vAlign w:val="bottom"/>
            <w:gridSpan w:val="2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4"/>
                <w:szCs w:val="24"/>
                <w:color w:val="auto"/>
              </w:rPr>
            </w:pPr>
          </w:p>
        </w:tc>
        <w:tc>
          <w:tcPr>
            <w:tcW w:w="8900" w:type="dxa"/>
            <w:vAlign w:val="bottom"/>
            <w:tcBorders>
              <w:top w:val="single" w:sz="8" w:color="auto"/>
              <w:bottom w:val="single" w:sz="8" w:color="0000EE"/>
            </w:tcBorders>
            <w:gridSpan w:val="25"/>
          </w:tcPr>
          <w:p>
            <w:pPr>
              <w:spacing w:after="0"/>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Tenth Amended and Restated Memorandum and Articles of Association of the Registrant (incorporated herein by reference</w:t>
              </w:r>
            </w:hyperlink>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to Exhibit 4.1 to the Registrant’s registration statement on Form S-8 (File No. 333-294844) initially filed with the SEC on</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April 2, 2026)</w:t>
              </w:r>
            </w:hyperlink>
          </w:p>
        </w:tc>
        <w:tc>
          <w:tcPr>
            <w:tcW w:w="788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4"/>
                <w:szCs w:val="24"/>
                <w:color w:val="auto"/>
              </w:rPr>
            </w:pPr>
          </w:p>
        </w:tc>
        <w:tc>
          <w:tcPr>
            <w:tcW w:w="88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Registrant’s Specimen Certificate for American Depositary Receipt (incorporated herein by reference to Exhibit 4.3 to the</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920" w:type="dxa"/>
            <w:vAlign w:val="bottom"/>
            <w:gridSpan w:val="26"/>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Registrant’s registration statement on Form F-1 (File No. 333-282700) initially filed on October 17, 2024, as amended)</w:t>
              </w:r>
            </w:hyperlink>
          </w:p>
        </w:tc>
        <w:tc>
          <w:tcPr>
            <w:tcW w:w="0" w:type="dxa"/>
            <w:vAlign w:val="bottom"/>
          </w:tcPr>
          <w:p>
            <w:pPr>
              <w:spacing w:after="0"/>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24"/>
                <w:szCs w:val="24"/>
                <w:color w:val="auto"/>
              </w:rPr>
            </w:pPr>
          </w:p>
        </w:tc>
        <w:tc>
          <w:tcPr>
            <w:tcW w:w="844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9"/>
              </w:rPr>
            </w:pPr>
            <w:hyperlink r:id="rId222">
              <w:r>
                <w:rPr>
                  <w:rFonts w:ascii="Times New Roman" w:cs="Times New Roman" w:eastAsia="Times New Roman" w:hAnsi="Times New Roman"/>
                  <w:sz w:val="18"/>
                  <w:szCs w:val="18"/>
                  <w:color w:val="0000EE"/>
                  <w:w w:val="99"/>
                </w:rPr>
                <w:t>Registrant’s Specimen Certificate for Class A Ordinary Shares (incorporated herein by reference to Exhibit 4.2 to the</w:t>
              </w:r>
            </w:hyperlink>
          </w:p>
        </w:tc>
        <w:tc>
          <w:tcPr>
            <w:tcW w:w="140" w:type="dxa"/>
            <w:vAlign w:val="bottom"/>
            <w:tcBorders>
              <w:top w:val="single" w:sz="8" w:color="0000EE"/>
            </w:tcBorders>
            <w:gridSpan w:val="3"/>
          </w:tcPr>
          <w:p>
            <w:pPr>
              <w:spacing w:after="0"/>
              <w:rPr>
                <w:sz w:val="24"/>
                <w:szCs w:val="24"/>
                <w:color w:val="auto"/>
              </w:rPr>
            </w:pPr>
          </w:p>
        </w:tc>
        <w:tc>
          <w:tcPr>
            <w:tcW w:w="3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920" w:type="dxa"/>
            <w:vAlign w:val="bottom"/>
            <w:gridSpan w:val="26"/>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Registrant’s registration statement on Form S-8 (File No. 333-294844) initially filed with the SEC on April 2, 2026)</w:t>
              </w:r>
            </w:hyperlink>
          </w:p>
        </w:tc>
        <w:tc>
          <w:tcPr>
            <w:tcW w:w="0" w:type="dxa"/>
            <w:vAlign w:val="bottom"/>
          </w:tcPr>
          <w:p>
            <w:pPr>
              <w:spacing w:after="0"/>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24"/>
                <w:szCs w:val="24"/>
                <w:color w:val="auto"/>
              </w:rPr>
            </w:pPr>
          </w:p>
        </w:tc>
        <w:tc>
          <w:tcPr>
            <w:tcW w:w="830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Form of Deposit Agreement between the Registrant, the depositary and holders of the American Depositary Shares</w:t>
              </w:r>
            </w:hyperlink>
          </w:p>
        </w:tc>
        <w:tc>
          <w:tcPr>
            <w:tcW w:w="60" w:type="dxa"/>
            <w:vAlign w:val="bottom"/>
            <w:tcBorders>
              <w:top w:val="single" w:sz="8" w:color="0000EE"/>
            </w:tcBorders>
          </w:tcPr>
          <w:p>
            <w:pPr>
              <w:spacing w:after="0"/>
              <w:rPr>
                <w:sz w:val="24"/>
                <w:szCs w:val="24"/>
                <w:color w:val="auto"/>
              </w:rPr>
            </w:pPr>
          </w:p>
        </w:tc>
        <w:tc>
          <w:tcPr>
            <w:tcW w:w="5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24"/>
                <w:szCs w:val="24"/>
                <w:color w:val="auto"/>
              </w:rPr>
            </w:pPr>
          </w:p>
        </w:tc>
        <w:tc>
          <w:tcPr>
            <w:tcW w:w="87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223">
              <w:r>
                <w:rPr>
                  <w:rFonts w:ascii="Times New Roman" w:cs="Times New Roman" w:eastAsia="Times New Roman" w:hAnsi="Times New Roman"/>
                  <w:sz w:val="18"/>
                  <w:szCs w:val="18"/>
                  <w:color w:val="0000EE"/>
                  <w:w w:val="99"/>
                </w:rPr>
                <w:t>Description of Registrant’s Securities (incorporated herein by reference to Exhibit 2.4 to the Registrant’s annual report on</w:t>
              </w:r>
            </w:hyperlink>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920" w:type="dxa"/>
            <w:vAlign w:val="bottom"/>
            <w:gridSpan w:val="26"/>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Form 20-F for the fiscal year ended December 31, 2024 (File No. 001-42409), filed with the Commission on April 25,</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223">
              <w:r>
                <w:rPr>
                  <w:rFonts w:ascii="Times New Roman" w:cs="Times New Roman" w:eastAsia="Times New Roman" w:hAnsi="Times New Roman"/>
                  <w:sz w:val="18"/>
                  <w:szCs w:val="18"/>
                  <w:color w:val="0000EE"/>
                  <w:w w:val="95"/>
                </w:rPr>
                <w:t>2025)</w:t>
              </w:r>
            </w:hyperlink>
          </w:p>
        </w:tc>
        <w:tc>
          <w:tcPr>
            <w:tcW w:w="2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5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4"/>
                <w:szCs w:val="24"/>
                <w:color w:val="auto"/>
              </w:rPr>
            </w:pPr>
          </w:p>
        </w:tc>
        <w:tc>
          <w:tcPr>
            <w:tcW w:w="8920" w:type="dxa"/>
            <w:vAlign w:val="bottom"/>
            <w:gridSpan w:val="26"/>
          </w:tcPr>
          <w:p>
            <w:pPr>
              <w:spacing w:after="0"/>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2016 Share Plan (incorporated herein by reference to Exhibit 10.1 to the registration statement on Form F-1 (File No. 333-</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1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24">
              <w:r>
                <w:rPr>
                  <w:rFonts w:ascii="Times New Roman" w:cs="Times New Roman" w:eastAsia="Times New Roman" w:hAnsi="Times New Roman"/>
                  <w:sz w:val="18"/>
                  <w:szCs w:val="18"/>
                  <w:color w:val="0000EE"/>
                  <w:w w:val="99"/>
                </w:rPr>
                <w:t>282700)</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 xml:space="preserve"> as amended, initially filed with the SEC on October 17, 2024)</w:t>
              </w:r>
            </w:hyperlink>
          </w:p>
        </w:tc>
        <w:tc>
          <w:tcPr>
            <w:tcW w:w="3660" w:type="dxa"/>
            <w:vAlign w:val="bottom"/>
            <w:tcBorders>
              <w:top w:val="single" w:sz="8" w:color="0000EE"/>
            </w:tcBorders>
            <w:gridSpan w:val="13"/>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4"/>
                <w:szCs w:val="24"/>
                <w:color w:val="auto"/>
              </w:rPr>
            </w:pPr>
          </w:p>
        </w:tc>
        <w:tc>
          <w:tcPr>
            <w:tcW w:w="87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Form of Indemnification Agreement with each of the Registrant’s directors and executive officers (incorporated herein by</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reference to Exhibit 10.2 to the registration statement on Form F-1 (File No. 333-282700), as amended, initially filed with</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920" w:type="dxa"/>
            <w:vAlign w:val="bottom"/>
            <w:gridSpan w:val="26"/>
          </w:tcPr>
          <w:p>
            <w:pPr>
              <w:spacing w:after="0" w:line="196"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the SEC on October 17, 2024)</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24"/>
                <w:szCs w:val="24"/>
                <w:color w:val="auto"/>
              </w:rPr>
            </w:pPr>
          </w:p>
        </w:tc>
        <w:tc>
          <w:tcPr>
            <w:tcW w:w="84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226">
              <w:r>
                <w:rPr>
                  <w:rFonts w:ascii="Times New Roman" w:cs="Times New Roman" w:eastAsia="Times New Roman" w:hAnsi="Times New Roman"/>
                  <w:sz w:val="18"/>
                  <w:szCs w:val="18"/>
                  <w:color w:val="0000EE"/>
                  <w:w w:val="99"/>
                </w:rPr>
                <w:t>Form of Employment Agreement with each of the Registrant’s executive officers (incorporated herein by reference to</w:t>
              </w:r>
            </w:hyperlink>
          </w:p>
        </w:tc>
        <w:tc>
          <w:tcPr>
            <w:tcW w:w="4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26">
              <w:r>
                <w:rPr>
                  <w:rFonts w:ascii="Times New Roman" w:cs="Times New Roman" w:eastAsia="Times New Roman" w:hAnsi="Times New Roman"/>
                  <w:sz w:val="18"/>
                  <w:szCs w:val="18"/>
                  <w:color w:val="0000EE"/>
                  <w:w w:val="99"/>
                </w:rPr>
                <w:t>Exhibit 10.3 to the registration statement on Form F-1 (File No. 333-282700), as amended, initially filed with the SEC on</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920" w:type="dxa"/>
            <w:vAlign w:val="bottom"/>
            <w:gridSpan w:val="26"/>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October 17, 2024)</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7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24"/>
                <w:szCs w:val="24"/>
                <w:color w:val="auto"/>
              </w:rPr>
            </w:pPr>
          </w:p>
        </w:tc>
        <w:tc>
          <w:tcPr>
            <w:tcW w:w="892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Form of Director Agreement with each of the Registrant’s non-executive directors</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7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24"/>
                <w:szCs w:val="24"/>
                <w:color w:val="auto"/>
              </w:rPr>
            </w:pPr>
          </w:p>
        </w:tc>
        <w:tc>
          <w:tcPr>
            <w:tcW w:w="4740" w:type="dxa"/>
            <w:vAlign w:val="bottom"/>
            <w:gridSpan w:val="6"/>
            <w:vMerge w:val="restart"/>
          </w:tcPr>
          <w:p>
            <w:pPr>
              <w:spacing w:after="0"/>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English translation of the lease agreement of our headquarters (12</w:t>
              </w:r>
            </w:hyperlink>
          </w:p>
        </w:tc>
        <w:tc>
          <w:tcPr>
            <w:tcW w:w="1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98"/>
              </w:rPr>
              <w:t>th</w:t>
            </w:r>
          </w:p>
        </w:tc>
        <w:tc>
          <w:tcPr>
            <w:tcW w:w="4060" w:type="dxa"/>
            <w:vAlign w:val="bottom"/>
            <w:gridSpan w:val="18"/>
            <w:vMerge w:val="restart"/>
          </w:tcPr>
          <w:p>
            <w:pPr>
              <w:ind w:left="40"/>
              <w:spacing w:after="0"/>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Floor) located in Guangzhou by and among Guangzhou</w:t>
              </w:r>
            </w:hyperlink>
          </w:p>
        </w:tc>
        <w:tc>
          <w:tcPr>
            <w:tcW w:w="0" w:type="dxa"/>
            <w:vAlign w:val="bottom"/>
          </w:tcPr>
          <w:p>
            <w:pPr>
              <w:spacing w:after="0"/>
              <w:rPr>
                <w:sz w:val="1"/>
                <w:szCs w:val="1"/>
                <w:color w:val="auto"/>
              </w:rPr>
            </w:pPr>
          </w:p>
        </w:tc>
      </w:tr>
      <w:tr>
        <w:trPr>
          <w:trHeight w:val="34"/>
        </w:trPr>
        <w:tc>
          <w:tcPr>
            <w:tcW w:w="8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4740" w:type="dxa"/>
            <w:vAlign w:val="bottom"/>
            <w:tcBorders>
              <w:bottom w:val="single" w:sz="8" w:color="0000EE"/>
            </w:tcBorders>
            <w:gridSpan w:val="6"/>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60" w:type="dxa"/>
            <w:vAlign w:val="bottom"/>
            <w:tcBorders>
              <w:bottom w:val="single" w:sz="8" w:color="0000EE"/>
            </w:tcBorders>
            <w:gridSpan w:val="18"/>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(ZX) Pony AI Technology Co., Ltd. and certain landlord dated May 2, 2018 (incorporated herein by reference to Exhibit</w:t>
              </w:r>
            </w:hyperlink>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9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16</w:t>
              </w:r>
              <w:r>
                <w:rPr>
                  <w:rFonts w:ascii="Times New Roman" w:cs="Times New Roman" w:eastAsia="Times New Roman" w:hAnsi="Times New Roman"/>
                  <w:sz w:val="18"/>
                  <w:szCs w:val="18"/>
                  <w:color w:val="0000EE"/>
                  <w:w w:val="99"/>
                </w:rPr>
                <w:t xml:space="preserve"> to the registration statement on Form F-1 (File No. 333-282700), as amended, initially filed with the SEC on October</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227">
              <w:r>
                <w:rPr>
                  <w:rFonts w:ascii="Times New Roman" w:cs="Times New Roman" w:eastAsia="Times New Roman" w:hAnsi="Times New Roman"/>
                  <w:sz w:val="18"/>
                  <w:szCs w:val="18"/>
                  <w:color w:val="0000EE"/>
                  <w:w w:val="98"/>
                </w:rPr>
                <w:t>17, 2024)</w:t>
              </w:r>
            </w:hyperlink>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24"/>
                <w:szCs w:val="24"/>
                <w:color w:val="auto"/>
              </w:rPr>
            </w:pPr>
          </w:p>
        </w:tc>
        <w:tc>
          <w:tcPr>
            <w:tcW w:w="4740" w:type="dxa"/>
            <w:vAlign w:val="bottom"/>
            <w:gridSpan w:val="6"/>
            <w:vMerge w:val="restart"/>
          </w:tcPr>
          <w:p>
            <w:pPr>
              <w:spacing w:after="0"/>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English translation of the lease agreement of our headquarters (13</w:t>
              </w:r>
            </w:hyperlink>
          </w:p>
        </w:tc>
        <w:tc>
          <w:tcPr>
            <w:tcW w:w="1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98"/>
              </w:rPr>
              <w:t>th</w:t>
            </w:r>
          </w:p>
        </w:tc>
        <w:tc>
          <w:tcPr>
            <w:tcW w:w="4060" w:type="dxa"/>
            <w:vAlign w:val="bottom"/>
            <w:gridSpan w:val="18"/>
            <w:vMerge w:val="restart"/>
          </w:tcPr>
          <w:p>
            <w:pPr>
              <w:ind w:left="40"/>
              <w:spacing w:after="0"/>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Floor) located in Guangzhou by and among Guangzhou</w:t>
              </w:r>
            </w:hyperlink>
          </w:p>
        </w:tc>
        <w:tc>
          <w:tcPr>
            <w:tcW w:w="0" w:type="dxa"/>
            <w:vAlign w:val="bottom"/>
          </w:tcPr>
          <w:p>
            <w:pPr>
              <w:spacing w:after="0"/>
              <w:rPr>
                <w:sz w:val="1"/>
                <w:szCs w:val="1"/>
                <w:color w:val="auto"/>
              </w:rPr>
            </w:pPr>
          </w:p>
        </w:tc>
      </w:tr>
      <w:tr>
        <w:trPr>
          <w:trHeight w:val="34"/>
        </w:trPr>
        <w:tc>
          <w:tcPr>
            <w:tcW w:w="8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4740" w:type="dxa"/>
            <w:vAlign w:val="bottom"/>
            <w:tcBorders>
              <w:bottom w:val="single" w:sz="8" w:color="0000EE"/>
            </w:tcBorders>
            <w:gridSpan w:val="6"/>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60" w:type="dxa"/>
            <w:vAlign w:val="bottom"/>
            <w:tcBorders>
              <w:bottom w:val="single" w:sz="8" w:color="0000EE"/>
            </w:tcBorders>
            <w:gridSpan w:val="18"/>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(ZX) Pony AI Technology Co., Ltd. and certain landlord dated September 12, 2019 (incorporated herein by reference to</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920" w:type="dxa"/>
            <w:vAlign w:val="bottom"/>
            <w:gridSpan w:val="26"/>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Exhibit 10.17 to the registration statement on Form F-1 (File No. 333-282700), as amended, initially filed with the SEC on</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October 17, 2024)</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400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24"/>
                <w:szCs w:val="24"/>
                <w:color w:val="auto"/>
              </w:rPr>
            </w:pPr>
          </w:p>
        </w:tc>
        <w:tc>
          <w:tcPr>
            <w:tcW w:w="892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2026 Share Scheme (incorporated herein by reference to Exhibit 10.1 to the Registrant’s registration statement on Form S-8</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29">
              <w:r>
                <w:rPr>
                  <w:rFonts w:ascii="Times New Roman" w:cs="Times New Roman" w:eastAsia="Times New Roman" w:hAnsi="Times New Roman"/>
                  <w:sz w:val="18"/>
                  <w:szCs w:val="18"/>
                  <w:color w:val="0000EE"/>
                  <w:w w:val="99"/>
                </w:rPr>
                <w:t>(File No. 333-294844) initially filed with the SEC on April 2, 2026)</w:t>
              </w:r>
            </w:hyperlink>
          </w:p>
        </w:tc>
        <w:tc>
          <w:tcPr>
            <w:tcW w:w="40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080" w:type="dxa"/>
            <w:vAlign w:val="bottom"/>
            <w:gridSpan w:val="1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80" w:type="dxa"/>
            <w:vAlign w:val="bottom"/>
            <w:gridSpan w:val="1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24"/>
                <w:szCs w:val="24"/>
                <w:color w:val="auto"/>
              </w:rPr>
            </w:pPr>
          </w:p>
        </w:tc>
        <w:tc>
          <w:tcPr>
            <w:tcW w:w="892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0000EE"/>
              </w:rPr>
              <w:t>Principal Subsidiaries of the Registrant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24"/>
                <w:szCs w:val="24"/>
                <w:color w:val="auto"/>
              </w:rPr>
            </w:pPr>
          </w:p>
        </w:tc>
        <w:tc>
          <w:tcPr>
            <w:tcW w:w="89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Code of Business Conduct and Ethics of the Registrant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34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spacing w:after="0"/>
              <w:rPr>
                <w:sz w:val="24"/>
                <w:szCs w:val="24"/>
                <w:color w:val="auto"/>
              </w:rPr>
            </w:pPr>
          </w:p>
        </w:tc>
        <w:tc>
          <w:tcPr>
            <w:tcW w:w="55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Pony AI Inc. Statement of Policy Concerning Trading in Company Securities</w:t>
            </w:r>
          </w:p>
        </w:tc>
        <w:tc>
          <w:tcPr>
            <w:tcW w:w="33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Pr>
          <w:p>
            <w:pPr>
              <w:spacing w:after="0"/>
              <w:rPr>
                <w:sz w:val="24"/>
                <w:szCs w:val="24"/>
                <w:color w:val="auto"/>
              </w:rPr>
            </w:pPr>
          </w:p>
        </w:tc>
        <w:tc>
          <w:tcPr>
            <w:tcW w:w="89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Certification by Principal Executive Officer Pursuant to Section 302 of the Sarbanes-Oxley Act of 2002</w:t>
            </w:r>
          </w:p>
        </w:tc>
        <w:tc>
          <w:tcPr>
            <w:tcW w:w="0" w:type="dxa"/>
            <w:vAlign w:val="bottom"/>
          </w:tcPr>
          <w:p>
            <w:pPr>
              <w:spacing w:after="0"/>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Pr>
          <w:p>
            <w:pPr>
              <w:spacing w:after="0"/>
              <w:rPr>
                <w:sz w:val="24"/>
                <w:szCs w:val="24"/>
                <w:color w:val="auto"/>
              </w:rPr>
            </w:pPr>
          </w:p>
        </w:tc>
        <w:tc>
          <w:tcPr>
            <w:tcW w:w="746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Certification by Principal Financial Officer Pursuant to Section 302 of the Sarbanes-Oxley Act of 2002</w:t>
            </w:r>
          </w:p>
        </w:tc>
        <w:tc>
          <w:tcPr>
            <w:tcW w:w="20" w:type="dxa"/>
            <w:vAlign w:val="bottom"/>
            <w:tcBorders>
              <w:top w:val="single" w:sz="8" w:color="0000EE"/>
            </w:tcBorders>
          </w:tcPr>
          <w:p>
            <w:pPr>
              <w:spacing w:after="0"/>
              <w:rPr>
                <w:sz w:val="24"/>
                <w:szCs w:val="24"/>
                <w:color w:val="auto"/>
              </w:rPr>
            </w:pPr>
          </w:p>
        </w:tc>
        <w:tc>
          <w:tcPr>
            <w:tcW w:w="14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tcPr>
          <w:p>
            <w:pPr>
              <w:spacing w:after="0"/>
              <w:rPr>
                <w:sz w:val="24"/>
                <w:szCs w:val="24"/>
                <w:color w:val="auto"/>
              </w:rPr>
            </w:pPr>
          </w:p>
        </w:tc>
        <w:tc>
          <w:tcPr>
            <w:tcW w:w="89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Certification by Principal Executive Officer Pursuant to Section 906 of the Sarbanes-Oxley Act of 2002</w:t>
            </w:r>
          </w:p>
        </w:tc>
        <w:tc>
          <w:tcPr>
            <w:tcW w:w="0" w:type="dxa"/>
            <w:vAlign w:val="bottom"/>
          </w:tcPr>
          <w:p>
            <w:pPr>
              <w:spacing w:after="0"/>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tcPr>
          <w:p>
            <w:pPr>
              <w:spacing w:after="0"/>
              <w:rPr>
                <w:sz w:val="24"/>
                <w:szCs w:val="24"/>
                <w:color w:val="auto"/>
              </w:rPr>
            </w:pPr>
          </w:p>
        </w:tc>
        <w:tc>
          <w:tcPr>
            <w:tcW w:w="744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by Principal Financial Officer Pursuant to Section 906 of the Sarbanes-Oxley Act of 2002</w:t>
            </w:r>
          </w:p>
        </w:tc>
        <w:tc>
          <w:tcPr>
            <w:tcW w:w="40" w:type="dxa"/>
            <w:vAlign w:val="bottom"/>
            <w:tcBorders>
              <w:top w:val="single" w:sz="8" w:color="0000EE"/>
            </w:tcBorders>
            <w:gridSpan w:val="2"/>
          </w:tcPr>
          <w:p>
            <w:pPr>
              <w:spacing w:after="0"/>
              <w:rPr>
                <w:sz w:val="24"/>
                <w:szCs w:val="24"/>
                <w:color w:val="auto"/>
              </w:rPr>
            </w:pPr>
          </w:p>
        </w:tc>
        <w:tc>
          <w:tcPr>
            <w:tcW w:w="14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Pr>
          <w:p>
            <w:pPr>
              <w:spacing w:after="0"/>
              <w:rPr>
                <w:sz w:val="24"/>
                <w:szCs w:val="24"/>
                <w:color w:val="auto"/>
              </w:rPr>
            </w:pPr>
          </w:p>
        </w:tc>
        <w:tc>
          <w:tcPr>
            <w:tcW w:w="2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Consent of Haiwen &amp; Partners</w:t>
            </w:r>
          </w:p>
        </w:tc>
        <w:tc>
          <w:tcPr>
            <w:tcW w:w="67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tcPr>
          <w:p>
            <w:pPr>
              <w:spacing w:after="0"/>
              <w:rPr>
                <w:sz w:val="24"/>
                <w:szCs w:val="24"/>
                <w:color w:val="auto"/>
              </w:rPr>
            </w:pPr>
          </w:p>
        </w:tc>
        <w:tc>
          <w:tcPr>
            <w:tcW w:w="24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Consent of Walkers (Hong Kong)</w:t>
            </w:r>
          </w:p>
        </w:tc>
        <w:tc>
          <w:tcPr>
            <w:tcW w:w="64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tcPr>
          <w:p>
            <w:pPr>
              <w:spacing w:after="0"/>
              <w:rPr>
                <w:sz w:val="24"/>
                <w:szCs w:val="24"/>
                <w:color w:val="auto"/>
              </w:rPr>
            </w:pPr>
          </w:p>
        </w:tc>
        <w:tc>
          <w:tcPr>
            <w:tcW w:w="89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Consent of Deloitte Touche Tohmatsu Certified Public Accountants LLP</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00" w:type="dxa"/>
            <w:vAlign w:val="bottom"/>
            <w:gridSpan w:val="4"/>
            <w:shd w:val="clear" w:color="auto" w:fill="0000EE"/>
          </w:tcPr>
          <w:p>
            <w:pPr>
              <w:spacing w:after="0" w:line="20" w:lineRule="exact"/>
              <w:rPr>
                <w:sz w:val="1"/>
                <w:szCs w:val="1"/>
                <w:color w:val="auto"/>
              </w:rPr>
            </w:pPr>
          </w:p>
        </w:tc>
        <w:tc>
          <w:tcPr>
            <w:tcW w:w="134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160" w:type="dxa"/>
            <w:vAlign w:val="bottom"/>
          </w:tcPr>
          <w:p>
            <w:pPr>
              <w:spacing w:after="0"/>
              <w:rPr>
                <w:sz w:val="24"/>
                <w:szCs w:val="24"/>
                <w:color w:val="auto"/>
              </w:rPr>
            </w:pPr>
          </w:p>
        </w:tc>
        <w:tc>
          <w:tcPr>
            <w:tcW w:w="86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231">
              <w:r>
                <w:rPr>
                  <w:rFonts w:ascii="Times New Roman" w:cs="Times New Roman" w:eastAsia="Times New Roman" w:hAnsi="Times New Roman"/>
                  <w:sz w:val="18"/>
                  <w:szCs w:val="18"/>
                  <w:color w:val="0000EE"/>
                  <w:w w:val="99"/>
                </w:rPr>
                <w:t>Pony AI Inc. Compensation Recoupment Policy (incorporated by reference to Exhibit 97.1 to our annual report on Form</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3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31">
              <w:r>
                <w:rPr>
                  <w:rFonts w:ascii="Times New Roman" w:cs="Times New Roman" w:eastAsia="Times New Roman" w:hAnsi="Times New Roman"/>
                  <w:sz w:val="18"/>
                  <w:szCs w:val="18"/>
                  <w:color w:val="0000EE"/>
                  <w:w w:val="99"/>
                </w:rPr>
                <w:t>20-F for the fiscal year ended December 31, 2024 filed with the SEC on April 25, 2025)</w:t>
              </w:r>
            </w:hyperlink>
          </w:p>
        </w:tc>
        <w:tc>
          <w:tcPr>
            <w:tcW w:w="25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24"/>
                <w:szCs w:val="24"/>
                <w:color w:val="auto"/>
              </w:rPr>
            </w:pPr>
          </w:p>
        </w:tc>
        <w:tc>
          <w:tcPr>
            <w:tcW w:w="89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32">
              <w:r>
                <w:rPr>
                  <w:rFonts w:ascii="Times New Roman" w:cs="Times New Roman" w:eastAsia="Times New Roman" w:hAnsi="Times New Roman"/>
                  <w:sz w:val="18"/>
                  <w:szCs w:val="18"/>
                  <w:color w:val="0000EE"/>
                  <w:w w:val="99"/>
                </w:rPr>
                <w:t>Consent of Frost &amp; Sullivan (incorporated by reference to Exhibit 99.3 to our Registration Statement on Form F-1 (File No.</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920" w:type="dxa"/>
            <w:vAlign w:val="bottom"/>
            <w:gridSpan w:val="12"/>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333-282700) filed with the SEC on October 17, 2024)</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00" w:type="dxa"/>
            <w:vAlign w:val="bottom"/>
            <w:gridSpan w:val="4"/>
            <w:shd w:val="clear" w:color="auto" w:fill="0000EE"/>
          </w:tcPr>
          <w:p>
            <w:pPr>
              <w:spacing w:after="0" w:line="20" w:lineRule="exact"/>
              <w:rPr>
                <w:sz w:val="1"/>
                <w:szCs w:val="1"/>
                <w:color w:val="auto"/>
              </w:rPr>
            </w:pPr>
          </w:p>
        </w:tc>
        <w:tc>
          <w:tcPr>
            <w:tcW w:w="50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24"/>
                <w:szCs w:val="24"/>
                <w:color w:val="auto"/>
              </w:rPr>
            </w:pPr>
          </w:p>
        </w:tc>
        <w:tc>
          <w:tcPr>
            <w:tcW w:w="8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Document—this instance document does not appear on the Interactive Data File because its XBRL</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24"/>
                <w:szCs w:val="24"/>
                <w:color w:val="auto"/>
              </w:rPr>
            </w:pPr>
          </w:p>
        </w:tc>
        <w:tc>
          <w:tcPr>
            <w:tcW w:w="8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60" w:type="dxa"/>
            <w:vAlign w:val="bottom"/>
          </w:tcPr>
          <w:p>
            <w:pPr>
              <w:spacing w:after="0"/>
              <w:rPr>
                <w:sz w:val="24"/>
                <w:szCs w:val="24"/>
                <w:color w:val="auto"/>
              </w:rPr>
            </w:pPr>
          </w:p>
        </w:tc>
        <w:tc>
          <w:tcPr>
            <w:tcW w:w="8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60" w:type="dxa"/>
            <w:vAlign w:val="bottom"/>
          </w:tcPr>
          <w:p>
            <w:pPr>
              <w:spacing w:after="0"/>
              <w:rPr>
                <w:sz w:val="24"/>
                <w:szCs w:val="24"/>
                <w:color w:val="auto"/>
              </w:rPr>
            </w:pPr>
          </w:p>
        </w:tc>
        <w:tc>
          <w:tcPr>
            <w:tcW w:w="8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60" w:type="dxa"/>
            <w:vAlign w:val="bottom"/>
          </w:tcPr>
          <w:p>
            <w:pPr>
              <w:spacing w:after="0"/>
              <w:rPr>
                <w:sz w:val="24"/>
                <w:szCs w:val="24"/>
                <w:color w:val="auto"/>
              </w:rPr>
            </w:pPr>
          </w:p>
        </w:tc>
        <w:tc>
          <w:tcPr>
            <w:tcW w:w="8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60" w:type="dxa"/>
            <w:vAlign w:val="bottom"/>
          </w:tcPr>
          <w:p>
            <w:pPr>
              <w:spacing w:after="0"/>
              <w:rPr>
                <w:sz w:val="24"/>
                <w:szCs w:val="24"/>
                <w:color w:val="auto"/>
              </w:rPr>
            </w:pPr>
          </w:p>
        </w:tc>
        <w:tc>
          <w:tcPr>
            <w:tcW w:w="89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140" w:firstLine="9"/>
        <w:spacing w:after="0" w:line="386" w:lineRule="auto"/>
        <w:tabs>
          <w:tab w:leader="none" w:pos="10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ind w:left="340" w:hanging="332"/>
        <w:spacing w:after="0"/>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156845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3">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its annual report on Form 20-F and that it has duly caused and authorized the undersigned to sign this annual report on its behalf.</w:t>
      </w:r>
    </w:p>
    <w:p>
      <w:pPr>
        <w:spacing w:after="0" w:line="17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​​​Pony AI Inc.</w:t>
      </w: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By: /s/ Jun Peng</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Name:Dr. Jun Peng</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Chairman of the Board,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80"/>
          </w:cols>
          <w:pgMar w:left="980" w:top="513" w:right="143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07"/>
        </w:trPr>
        <w:tc>
          <w:tcPr>
            <w:tcW w:w="84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7180" w:type="dxa"/>
            <w:vAlign w:val="bottom"/>
            <w:gridSpan w:val="7"/>
          </w:tcPr>
          <w:p>
            <w:pPr>
              <w:ind w:left="1120"/>
              <w:spacing w:after="0"/>
              <w:rPr>
                <w:sz w:val="20"/>
                <w:szCs w:val="20"/>
                <w:color w:val="auto"/>
              </w:rPr>
            </w:pPr>
            <w:r>
              <w:rPr>
                <w:rFonts w:ascii="Times New Roman" w:cs="Times New Roman" w:eastAsia="Times New Roman" w:hAnsi="Times New Roman"/>
                <w:sz w:val="18"/>
                <w:szCs w:val="18"/>
                <w:b w:val="1"/>
                <w:bCs w:val="1"/>
                <w:color w:val="auto"/>
              </w:rPr>
              <w:t>INDEX TO THE CONSOLIDATED FINANCIAL STATEMENTS</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2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4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Reports of Independent Registered Public Accounting Firm </w:t>
            </w:r>
            <w:r>
              <w:rPr>
                <w:rFonts w:ascii="Times New Roman" w:cs="Times New Roman" w:eastAsia="Times New Roman" w:hAnsi="Times New Roman"/>
                <w:sz w:val="18"/>
                <w:szCs w:val="18"/>
                <w:color w:val="000000"/>
              </w:rPr>
              <w:t>(PCAOB ID Number: 1113)</w:t>
            </w: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 – F-4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4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2023, 2024 and 2025</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44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Loss for the Years Ended December 31, 2023, 2024</w:t>
            </w: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0000EE"/>
            </w:tcBorders>
          </w:tcPr>
          <w:p>
            <w:pPr>
              <w:spacing w:after="0"/>
              <w:rPr>
                <w:sz w:val="18"/>
                <w:szCs w:val="18"/>
                <w:color w:val="auto"/>
              </w:rPr>
            </w:pPr>
          </w:p>
        </w:tc>
        <w:tc>
          <w:tcPr>
            <w:tcW w:w="660" w:type="dxa"/>
            <w:vAlign w:val="bottom"/>
            <w:tcBorders>
              <w:top w:val="single" w:sz="8" w:color="0000EE"/>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6"/>
              </w:rPr>
              <w:t>and 2025</w:t>
            </w:r>
          </w:p>
        </w:tc>
        <w:tc>
          <w:tcPr>
            <w:tcW w:w="7380" w:type="dxa"/>
            <w:vAlign w:val="bottom"/>
            <w:tcBorders>
              <w:top w:val="single" w:sz="8" w:color="0000EE"/>
              <w:bottom w:val="single" w:sz="8" w:color="CCEEFF"/>
            </w:tcBorders>
            <w:gridSpan w:val="6"/>
            <w:shd w:val="clear" w:color="auto" w:fill="CCEEFF"/>
          </w:tcPr>
          <w:p>
            <w:pPr>
              <w:spacing w:after="0"/>
              <w:rPr>
                <w:sz w:val="18"/>
                <w:szCs w:val="18"/>
                <w:color w:val="auto"/>
              </w:rPr>
            </w:pPr>
          </w:p>
        </w:tc>
        <w:tc>
          <w:tcPr>
            <w:tcW w:w="4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6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4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Shareholders’ Deficit for the Years Ended December 31, 2023, 2024 and</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2025</w:t>
            </w:r>
          </w:p>
        </w:tc>
        <w:tc>
          <w:tcPr>
            <w:tcW w:w="600" w:type="dxa"/>
            <w:vAlign w:val="bottom"/>
            <w:tcBorders>
              <w:top w:val="single" w:sz="8" w:color="0000EE"/>
            </w:tcBorders>
          </w:tcPr>
          <w:p>
            <w:pPr>
              <w:spacing w:after="0"/>
              <w:rPr>
                <w:sz w:val="17"/>
                <w:szCs w:val="17"/>
                <w:color w:val="auto"/>
              </w:rPr>
            </w:pPr>
          </w:p>
        </w:tc>
        <w:tc>
          <w:tcPr>
            <w:tcW w:w="30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8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4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2024 and 2025</w:t>
            </w: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8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Borders>
              <w:bottom w:val="single" w:sz="8" w:color="0000EE"/>
            </w:tcBorders>
            <w:vMerge w:val="continue"/>
          </w:tcPr>
          <w:p>
            <w:pPr>
              <w:spacing w:after="0"/>
              <w:rPr>
                <w:sz w:val="15"/>
                <w:szCs w:val="15"/>
                <w:color w:val="auto"/>
              </w:rPr>
            </w:pPr>
          </w:p>
        </w:tc>
        <w:tc>
          <w:tcPr>
            <w:tcW w:w="7500" w:type="dxa"/>
            <w:vAlign w:val="bottom"/>
            <w:tcBorders>
              <w:bottom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the Consolidated Financial Statements for the Years Ended December 31, 2023, 2024 and 2025</w:t>
            </w:r>
          </w:p>
        </w:tc>
        <w:tc>
          <w:tcPr>
            <w:tcW w:w="940" w:type="dxa"/>
            <w:vAlign w:val="bottom"/>
            <w:gridSpan w:val="3"/>
          </w:tcPr>
          <w:p>
            <w:pPr>
              <w:spacing w:after="0"/>
              <w:rPr>
                <w:sz w:val="15"/>
                <w:szCs w:val="15"/>
                <w:color w:val="auto"/>
              </w:rPr>
            </w:pP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F-9 - F-47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Pony AI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Pony AI Inc. and its subsidiaries (the “Company”) as of December 31, 2025 and 2024, the related consolidated statements of operations and comprehensive loss, changes in shareholders’ (deficit)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31, 2025, based on criteria established in Internal Control-Integrated Framework (2013) issued by the Committee of Sponsoring Organizations of the Treadway Commission and our report dated April 22, 2026,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(“R&amp;D”)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note 2(n) to the financial statements, the R&amp;D costs are expensed as incurred, and consist primarily of (i) personnel costs representing salaries, benefits, share-based compensation, and bonuses for the R&amp;D personnel; (ii) direct input of materials and supplies expenses in relation to the R&amp;D; and (iii) certain other expenses, such as office rental expenses, bandwidth and data center expenditures, utilities, depreciation of equipment and other expenses incurred for the R&amp;D. The R&amp;D expenses for the year ended December 31, 2025 was US$217.4 million.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identified the R&amp;D expenses as a critical audit matter because the audit of the R&amp;D expenses required significant audit effort in performing audit procedures to address the risk of misstatement related to the R&amp;D expenses.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addressing this critical audit matter comprised of the following control testing and substantive procedures, among others:</w:t>
      </w:r>
    </w:p>
    <w:p>
      <w:pPr>
        <w:spacing w:after="0" w:line="162" w:lineRule="exact"/>
        <w:rPr>
          <w:sz w:val="20"/>
          <w:szCs w:val="20"/>
          <w:color w:val="auto"/>
        </w:rPr>
      </w:pPr>
    </w:p>
    <w:p>
      <w:pPr>
        <w:ind w:left="340" w:right="140" w:hanging="332"/>
        <w:spacing w:after="0" w:line="282" w:lineRule="auto"/>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Company’s design and implementation of internal controls around the R&amp;D expenses and the operating effectiveness of the relevant controls identified.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substantive testing procedures over the R&amp;D expenses, including:</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developed an independent expectation of payroll expenses based on headcount, and salary and bonus information and compared to payroll expenses recorded by management and tested the classification of payroll expenses to R&amp;D expenses on a sample basis, which included matching samples to their respective departments and employment contracts and based on their charged monthly working hours.</w:t>
      </w:r>
    </w:p>
    <w:p>
      <w:pPr>
        <w:spacing w:after="0" w:line="179"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share-based compensation expenses of share awards granted to the R&amp;D employees and the depreciation and amortization calculations of the R&amp;D related assets.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other R&amp;D expenses on a sample basis, which included tracing relevant information to the underlying contracts, purchase orders, invoices received and assessed the nature of such expenses for appropriate R&amp;D classification.</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 Certified Public Accountants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Pony AI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Pony AI Inc. and its subsidiaries (the “Company”)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COSO.</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April 22, 2026,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 Certified Public Accountants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2026</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PONY AI INC.</w:t>
      </w:r>
    </w:p>
    <w:p>
      <w:pPr>
        <w:spacing w:after="0" w:line="3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(All amounts in USD thousands, except share, per share and per ADS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2300" w:type="dxa"/>
            <w:vAlign w:val="bottom"/>
            <w:tcBorders>
              <w:bottom w:val="single" w:sz="8" w:color="auto"/>
            </w:tcBorders>
            <w:gridSpan w:val="3"/>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3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Note</w:t>
            </w:r>
          </w:p>
        </w:tc>
        <w:tc>
          <w:tcPr>
            <w:tcW w:w="260" w:type="dxa"/>
            <w:vAlign w:val="bottom"/>
            <w:tcBorders>
              <w:bottom w:val="single" w:sz="8" w:color="CCEEFF"/>
            </w:tcBorders>
          </w:tcPr>
          <w:p>
            <w:pPr>
              <w:ind w:lef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535,976</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293,489</w:t>
            </w:r>
          </w:p>
        </w:tc>
        <w:tc>
          <w:tcPr>
            <w:tcW w:w="0" w:type="dxa"/>
            <w:vAlign w:val="bottom"/>
          </w:tcPr>
          <w:p>
            <w:pPr>
              <w:spacing w:after="0"/>
              <w:rPr>
                <w:sz w:val="1"/>
                <w:szCs w:val="1"/>
                <w:color w:val="auto"/>
              </w:rPr>
            </w:pPr>
          </w:p>
        </w:tc>
      </w:tr>
      <w:tr>
        <w:trPr>
          <w:trHeight w:val="216"/>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 current</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0" w:type="dxa"/>
            <w:vAlign w:val="bottom"/>
          </w:tcPr>
          <w:p>
            <w:pPr>
              <w:spacing w:after="0"/>
              <w:rPr>
                <w:sz w:val="1"/>
                <w:szCs w:val="1"/>
                <w:color w:val="auto"/>
              </w:rPr>
            </w:pPr>
          </w:p>
        </w:tc>
      </w:tr>
      <w:tr>
        <w:trPr>
          <w:trHeight w:val="198"/>
        </w:trPr>
        <w:tc>
          <w:tcPr>
            <w:tcW w:w="634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Short-term investments (including short-term investments measured at fair value of</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$209,035 and $872,158 as of December 31, 2024 and 2025, respectively)</w:t>
            </w:r>
          </w:p>
        </w:tc>
        <w:tc>
          <w:tcPr>
            <w:tcW w:w="1020" w:type="dxa"/>
            <w:vAlign w:val="bottom"/>
            <w:gridSpan w:val="2"/>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88"/>
              </w:rPr>
              <w:t>6</w:t>
            </w: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209,035</w:t>
            </w: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872,158</w:t>
            </w:r>
          </w:p>
        </w:tc>
        <w:tc>
          <w:tcPr>
            <w:tcW w:w="0" w:type="dxa"/>
            <w:vAlign w:val="bottom"/>
          </w:tcPr>
          <w:p>
            <w:pPr>
              <w:spacing w:after="0"/>
              <w:rPr>
                <w:sz w:val="1"/>
                <w:szCs w:val="1"/>
                <w:color w:val="auto"/>
              </w:rPr>
            </w:pPr>
          </w:p>
        </w:tc>
      </w:tr>
      <w:tr>
        <w:trPr>
          <w:trHeight w:val="216"/>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28,555</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23,644</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Amounts due from related parties, current</w:t>
            </w:r>
          </w:p>
        </w:tc>
        <w:tc>
          <w:tcPr>
            <w:tcW w:w="1020" w:type="dxa"/>
            <w:vAlign w:val="bottom"/>
            <w:gridSpan w:val="2"/>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99"/>
              </w:rPr>
              <w:t>15</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8,322</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11,338</w:t>
            </w:r>
          </w:p>
        </w:tc>
        <w:tc>
          <w:tcPr>
            <w:tcW w:w="0" w:type="dxa"/>
            <w:vAlign w:val="bottom"/>
          </w:tcPr>
          <w:p>
            <w:pPr>
              <w:spacing w:after="0"/>
              <w:rPr>
                <w:sz w:val="1"/>
                <w:szCs w:val="1"/>
                <w:color w:val="auto"/>
              </w:rPr>
            </w:pPr>
          </w:p>
        </w:tc>
      </w:tr>
      <w:tr>
        <w:trPr>
          <w:trHeight w:val="216"/>
        </w:trPr>
        <w:tc>
          <w:tcPr>
            <w:tcW w:w="6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52,713</w:t>
            </w:r>
          </w:p>
        </w:tc>
        <w:tc>
          <w:tcPr>
            <w:tcW w:w="2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48,074</w:t>
            </w: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834,622</w:t>
            </w:r>
          </w:p>
        </w:tc>
        <w:tc>
          <w:tcPr>
            <w:tcW w:w="2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1,250,639</w:t>
            </w:r>
          </w:p>
        </w:tc>
        <w:tc>
          <w:tcPr>
            <w:tcW w:w="0" w:type="dxa"/>
            <w:vAlign w:val="bottom"/>
          </w:tcPr>
          <w:p>
            <w:pPr>
              <w:spacing w:after="0"/>
              <w:rPr>
                <w:sz w:val="1"/>
                <w:szCs w:val="1"/>
                <w:color w:val="auto"/>
              </w:rPr>
            </w:pPr>
          </w:p>
        </w:tc>
      </w:tr>
      <w:tr>
        <w:trPr>
          <w:trHeight w:val="209"/>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10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88"/>
              </w:rPr>
              <w:t>7</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17,241</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60,467</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20" w:type="dxa"/>
            <w:vAlign w:val="bottom"/>
            <w:gridSpan w:val="2"/>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88"/>
              </w:rPr>
              <w:t>9</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13,342</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14,811</w:t>
            </w:r>
          </w:p>
        </w:tc>
        <w:tc>
          <w:tcPr>
            <w:tcW w:w="0" w:type="dxa"/>
            <w:vAlign w:val="bottom"/>
          </w:tcPr>
          <w:p>
            <w:pPr>
              <w:spacing w:after="0"/>
              <w:rPr>
                <w:sz w:val="1"/>
                <w:szCs w:val="1"/>
                <w:color w:val="auto"/>
              </w:rPr>
            </w:pPr>
          </w:p>
        </w:tc>
      </w:tr>
      <w:tr>
        <w:trPr>
          <w:trHeight w:val="198"/>
        </w:trPr>
        <w:tc>
          <w:tcPr>
            <w:tcW w:w="63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Long-term investments (including long-term investments measured at fair value of</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$93,449 and $129,876 as of December 31, 2024 and 2025, respectively)</w:t>
            </w:r>
          </w:p>
        </w:tc>
        <w:tc>
          <w:tcPr>
            <w:tcW w:w="102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w w:val="97"/>
              </w:rPr>
              <w:t>5,6</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130,799</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454,942</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Prepayment for long-term investments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52,823</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216,199</w:t>
            </w:r>
          </w:p>
        </w:tc>
        <w:tc>
          <w:tcPr>
            <w:tcW w:w="2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562,198</w:t>
            </w:r>
          </w:p>
        </w:tc>
        <w:tc>
          <w:tcPr>
            <w:tcW w:w="0" w:type="dxa"/>
            <w:vAlign w:val="bottom"/>
          </w:tcPr>
          <w:p>
            <w:pPr>
              <w:spacing w:after="0"/>
              <w:rPr>
                <w:sz w:val="1"/>
                <w:szCs w:val="1"/>
                <w:color w:val="auto"/>
              </w:rPr>
            </w:pPr>
          </w:p>
        </w:tc>
      </w:tr>
      <w:tr>
        <w:trPr>
          <w:trHeight w:val="250"/>
        </w:trPr>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1,050,821</w:t>
            </w:r>
          </w:p>
        </w:tc>
        <w:tc>
          <w:tcPr>
            <w:tcW w:w="26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1,812,837</w:t>
            </w: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Current liabilities</w:t>
            </w:r>
            <w:r>
              <w:rPr>
                <w:rFonts w:ascii="Times New Roman" w:cs="Times New Roman" w:eastAsia="Times New Roman" w:hAnsi="Times New Roman"/>
                <w:sz w:val="18"/>
                <w:szCs w:val="18"/>
                <w:color w:val="231F20"/>
              </w:rPr>
              <w:t>:</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Accounts payable and other current liabilities</w:t>
            </w:r>
          </w:p>
        </w:tc>
        <w:tc>
          <w:tcPr>
            <w:tcW w:w="1020" w:type="dxa"/>
            <w:vAlign w:val="bottom"/>
            <w:gridSpan w:val="2"/>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88"/>
              </w:rPr>
              <w:t>8</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66,548</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85,261</w:t>
            </w:r>
          </w:p>
        </w:tc>
        <w:tc>
          <w:tcPr>
            <w:tcW w:w="0" w:type="dxa"/>
            <w:vAlign w:val="bottom"/>
          </w:tcPr>
          <w:p>
            <w:pPr>
              <w:spacing w:after="0"/>
              <w:rPr>
                <w:sz w:val="1"/>
                <w:szCs w:val="1"/>
                <w:color w:val="auto"/>
              </w:rPr>
            </w:pPr>
          </w:p>
        </w:tc>
      </w:tr>
      <w:tr>
        <w:trPr>
          <w:trHeight w:val="216"/>
        </w:trPr>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Operating lease liabilities, current</w:t>
            </w:r>
          </w:p>
        </w:tc>
        <w:tc>
          <w:tcPr>
            <w:tcW w:w="102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88"/>
              </w:rPr>
              <w:t>9</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Amounts due to related parties, current</w:t>
            </w:r>
          </w:p>
        </w:tc>
        <w:tc>
          <w:tcPr>
            <w:tcW w:w="1020" w:type="dxa"/>
            <w:vAlign w:val="bottom"/>
            <w:gridSpan w:val="2"/>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99"/>
              </w:rPr>
              <w:t>15</w:t>
            </w:r>
          </w:p>
        </w:tc>
        <w:tc>
          <w:tcPr>
            <w:tcW w:w="2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0" w:type="dxa"/>
            <w:vAlign w:val="bottom"/>
          </w:tcPr>
          <w:p>
            <w:pPr>
              <w:spacing w:after="0"/>
              <w:rPr>
                <w:sz w:val="1"/>
                <w:szCs w:val="1"/>
                <w:color w:val="auto"/>
              </w:rPr>
            </w:pPr>
          </w:p>
        </w:tc>
      </w:tr>
      <w:tr>
        <w:trPr>
          <w:trHeight w:val="210"/>
        </w:trPr>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231F20"/>
              </w:rPr>
              <w:t>Total current liabilities</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70,886</w:t>
            </w:r>
          </w:p>
        </w:tc>
        <w:tc>
          <w:tcPr>
            <w:tcW w:w="2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91,475</w:t>
            </w:r>
          </w:p>
        </w:tc>
        <w:tc>
          <w:tcPr>
            <w:tcW w:w="0" w:type="dxa"/>
            <w:vAlign w:val="bottom"/>
          </w:tcPr>
          <w:p>
            <w:pPr>
              <w:spacing w:after="0"/>
              <w:rPr>
                <w:sz w:val="1"/>
                <w:szCs w:val="1"/>
                <w:color w:val="auto"/>
              </w:rPr>
            </w:pPr>
          </w:p>
        </w:tc>
      </w:tr>
      <w:tr>
        <w:trPr>
          <w:trHeight w:val="209"/>
        </w:trPr>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Operating lease liabilities, non-current</w:t>
            </w:r>
          </w:p>
        </w:tc>
        <w:tc>
          <w:tcPr>
            <w:tcW w:w="1020" w:type="dxa"/>
            <w:vAlign w:val="bottom"/>
            <w:gridSpan w:val="2"/>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88"/>
              </w:rPr>
              <w:t>9</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10,375</w:t>
            </w:r>
          </w:p>
        </w:tc>
        <w:tc>
          <w:tcPr>
            <w:tcW w:w="0" w:type="dxa"/>
            <w:vAlign w:val="bottom"/>
          </w:tcPr>
          <w:p>
            <w:pPr>
              <w:spacing w:after="0"/>
              <w:rPr>
                <w:sz w:val="1"/>
                <w:szCs w:val="1"/>
                <w:color w:val="auto"/>
              </w:rPr>
            </w:pPr>
          </w:p>
        </w:tc>
      </w:tr>
      <w:tr>
        <w:trPr>
          <w:trHeight w:val="216"/>
        </w:trPr>
        <w:tc>
          <w:tcPr>
            <w:tcW w:w="6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231F20"/>
              </w:rPr>
              <w:t>Other non-current liabilities</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0" w:type="dxa"/>
            <w:vAlign w:val="bottom"/>
          </w:tcPr>
          <w:p>
            <w:pPr>
              <w:spacing w:after="0"/>
              <w:rPr>
                <w:sz w:val="1"/>
                <w:szCs w:val="1"/>
                <w:color w:val="auto"/>
              </w:rPr>
            </w:pPr>
          </w:p>
        </w:tc>
      </w:tr>
      <w:tr>
        <w:trPr>
          <w:trHeight w:val="209"/>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Total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82,110</w:t>
            </w: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103,838</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Pony AI Inc. shareholders' equity:</w:t>
            </w: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4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231F20"/>
              </w:rPr>
              <w:t>Class A ordinary shares ($0.0005 par value, 498,911,230 shares and 498,911,230</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231F20"/>
              </w:rPr>
              <w:t>shares authorized as of December 31, 2024 and 2025, respectively; 269,203,783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231F20"/>
              </w:rPr>
              <w:t>shares and 352,452,783 shares issued and outstanding as of December 31, 2024 and</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231F20"/>
              </w:rPr>
              <w:t>2025, respectively)</w:t>
            </w:r>
          </w:p>
        </w:tc>
        <w:tc>
          <w:tcPr>
            <w:tcW w:w="1020" w:type="dxa"/>
            <w:vAlign w:val="bottom"/>
            <w:gridSpan w:val="2"/>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99"/>
              </w:rPr>
              <w:t>11</w:t>
            </w: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140</w:t>
            </w: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182</w:t>
            </w:r>
          </w:p>
        </w:tc>
        <w:tc>
          <w:tcPr>
            <w:tcW w:w="0" w:type="dxa"/>
            <w:vAlign w:val="bottom"/>
          </w:tcPr>
          <w:p>
            <w:pPr>
              <w:spacing w:after="0"/>
              <w:rPr>
                <w:sz w:val="1"/>
                <w:szCs w:val="1"/>
                <w:color w:val="auto"/>
              </w:rPr>
            </w:pPr>
          </w:p>
        </w:tc>
      </w:tr>
      <w:tr>
        <w:trPr>
          <w:trHeight w:val="198"/>
        </w:trPr>
        <w:tc>
          <w:tcPr>
            <w:tcW w:w="63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231F20"/>
              </w:rPr>
              <w:t>Class B ordinary shares ($0.0005 par value, 81,088,770 shares and 81,088,770 shares</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40"/>
              <w:spacing w:after="0"/>
              <w:rPr>
                <w:sz w:val="20"/>
                <w:szCs w:val="20"/>
                <w:color w:val="auto"/>
              </w:rPr>
            </w:pPr>
            <w:r>
              <w:rPr>
                <w:rFonts w:ascii="Times New Roman" w:cs="Times New Roman" w:eastAsia="Times New Roman" w:hAnsi="Times New Roman"/>
                <w:sz w:val="18"/>
                <w:szCs w:val="18"/>
                <w:color w:val="231F20"/>
              </w:rPr>
              <w:t>authorized, issued and outstanding as of December 31, 2024 and 2025,</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40" w:type="dxa"/>
            <w:vAlign w:val="bottom"/>
          </w:tcPr>
          <w:p>
            <w:pPr>
              <w:ind w:left="240"/>
              <w:spacing w:after="0"/>
              <w:rPr>
                <w:sz w:val="20"/>
                <w:szCs w:val="20"/>
                <w:color w:val="auto"/>
              </w:rPr>
            </w:pPr>
            <w:r>
              <w:rPr>
                <w:rFonts w:ascii="Times New Roman" w:cs="Times New Roman" w:eastAsia="Times New Roman" w:hAnsi="Times New Roman"/>
                <w:sz w:val="18"/>
                <w:szCs w:val="18"/>
                <w:color w:val="231F20"/>
              </w:rPr>
              <w:t>respectively)</w:t>
            </w:r>
          </w:p>
        </w:tc>
        <w:tc>
          <w:tcPr>
            <w:tcW w:w="102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w w:val="99"/>
              </w:rPr>
              <w:t>11</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35</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35</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Additional paid-in capital</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2,228,444</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3,078,559</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231F20"/>
              </w:rPr>
              <w:t>Special reserve</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220</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355</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Accumulated deficit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(1,287,851)</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(1,421,955)</w:t>
            </w:r>
          </w:p>
        </w:tc>
        <w:tc>
          <w:tcPr>
            <w:tcW w:w="0" w:type="dxa"/>
            <w:vAlign w:val="bottom"/>
          </w:tcPr>
          <w:p>
            <w:pPr>
              <w:spacing w:after="0"/>
              <w:rPr>
                <w:sz w:val="1"/>
                <w:szCs w:val="1"/>
                <w:color w:val="auto"/>
              </w:rPr>
            </w:pPr>
          </w:p>
        </w:tc>
      </w:tr>
      <w:tr>
        <w:trPr>
          <w:trHeight w:val="216"/>
        </w:trPr>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231F20"/>
              </w:rPr>
              <w:t>Accumulated other comprehensive income (loss)</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10,134</w:t>
            </w:r>
          </w:p>
        </w:tc>
        <w:tc>
          <w:tcPr>
            <w:tcW w:w="2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(4,899)</w:t>
            </w:r>
          </w:p>
        </w:tc>
        <w:tc>
          <w:tcPr>
            <w:tcW w:w="0" w:type="dxa"/>
            <w:vAlign w:val="bottom"/>
          </w:tcPr>
          <w:p>
            <w:pPr>
              <w:spacing w:after="0"/>
              <w:rPr>
                <w:sz w:val="1"/>
                <w:szCs w:val="1"/>
                <w:color w:val="auto"/>
              </w:rPr>
            </w:pPr>
          </w:p>
        </w:tc>
      </w:tr>
      <w:tr>
        <w:trPr>
          <w:trHeight w:val="20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Total Pony AI Inc. shareholders’ equity</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951,122</w:t>
            </w:r>
          </w:p>
        </w:tc>
        <w:tc>
          <w:tcPr>
            <w:tcW w:w="2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1,652,277</w:t>
            </w:r>
          </w:p>
        </w:tc>
        <w:tc>
          <w:tcPr>
            <w:tcW w:w="0" w:type="dxa"/>
            <w:vAlign w:val="bottom"/>
          </w:tcPr>
          <w:p>
            <w:pPr>
              <w:spacing w:after="0"/>
              <w:rPr>
                <w:sz w:val="1"/>
                <w:szCs w:val="1"/>
                <w:color w:val="auto"/>
              </w:rPr>
            </w:pPr>
          </w:p>
        </w:tc>
      </w:tr>
      <w:tr>
        <w:trPr>
          <w:trHeight w:val="210"/>
        </w:trPr>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231F20"/>
              </w:rPr>
              <w:t>Non-controlling interests</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17,589</w:t>
            </w:r>
          </w:p>
        </w:tc>
        <w:tc>
          <w:tcPr>
            <w:tcW w:w="2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56,722</w:t>
            </w:r>
          </w:p>
        </w:tc>
        <w:tc>
          <w:tcPr>
            <w:tcW w:w="0" w:type="dxa"/>
            <w:vAlign w:val="bottom"/>
          </w:tcPr>
          <w:p>
            <w:pPr>
              <w:spacing w:after="0"/>
              <w:rPr>
                <w:sz w:val="1"/>
                <w:szCs w:val="1"/>
                <w:color w:val="auto"/>
              </w:rPr>
            </w:pPr>
          </w:p>
        </w:tc>
      </w:tr>
      <w:tr>
        <w:trPr>
          <w:trHeight w:val="20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Total shareholders’ equity</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968,711</w:t>
            </w:r>
          </w:p>
        </w:tc>
        <w:tc>
          <w:tcPr>
            <w:tcW w:w="2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1,708,999</w:t>
            </w:r>
          </w:p>
        </w:tc>
        <w:tc>
          <w:tcPr>
            <w:tcW w:w="0" w:type="dxa"/>
            <w:vAlign w:val="bottom"/>
          </w:tcPr>
          <w:p>
            <w:pPr>
              <w:spacing w:after="0"/>
              <w:rPr>
                <w:sz w:val="1"/>
                <w:szCs w:val="1"/>
                <w:color w:val="auto"/>
              </w:rPr>
            </w:pPr>
          </w:p>
        </w:tc>
      </w:tr>
      <w:tr>
        <w:trPr>
          <w:trHeight w:val="250"/>
        </w:trPr>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231F20"/>
              </w:rPr>
              <w:t>Total liabilities and shareholders' equity</w:t>
            </w:r>
          </w:p>
        </w:tc>
        <w:tc>
          <w:tcPr>
            <w:tcW w:w="20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1,050,821</w:t>
            </w:r>
          </w:p>
        </w:tc>
        <w:tc>
          <w:tcPr>
            <w:tcW w:w="26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1,812,837</w:t>
            </w: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221F1F"/>
              </w:rPr>
              <w:t>Commitments and contingencies (See note 10)</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PONY AI INC.</w:t>
      </w:r>
    </w:p>
    <w:p>
      <w:pPr>
        <w:spacing w:after="0" w:line="31" w:lineRule="exact"/>
        <w:rPr>
          <w:sz w:val="20"/>
          <w:szCs w:val="20"/>
          <w:color w:val="auto"/>
        </w:rPr>
      </w:pPr>
    </w:p>
    <w:p>
      <w:pPr>
        <w:ind w:left="2240" w:right="1560" w:hanging="683"/>
        <w:spacing w:after="0" w:line="290" w:lineRule="auto"/>
        <w:rPr>
          <w:sz w:val="20"/>
          <w:szCs w:val="20"/>
          <w:color w:val="auto"/>
        </w:rPr>
      </w:pPr>
      <w:r>
        <w:rPr>
          <w:rFonts w:ascii="Times New Roman" w:cs="Times New Roman" w:eastAsia="Times New Roman" w:hAnsi="Times New Roman"/>
          <w:sz w:val="17"/>
          <w:szCs w:val="17"/>
          <w:b w:val="1"/>
          <w:bCs w:val="1"/>
          <w:color w:val="auto"/>
        </w:rPr>
        <w:t>CONSOLIDATED STATEMENTS OF OPERATIONS AND COMPREHENSIVE LOSS (All amounts in USD thousands, except share, per share and per ADS data)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231F20"/>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231F20"/>
              </w:rPr>
              <w:t>​​​</w:t>
            </w:r>
          </w:p>
        </w:tc>
        <w:tc>
          <w:tcPr>
            <w:tcW w:w="3200" w:type="dxa"/>
            <w:vAlign w:val="bottom"/>
            <w:gridSpan w:val="8"/>
          </w:tcPr>
          <w:p>
            <w:pPr>
              <w:jc w:val="right"/>
              <w:ind w:right="771"/>
              <w:spacing w:after="0"/>
              <w:rPr>
                <w:sz w:val="20"/>
                <w:szCs w:val="20"/>
                <w:color w:val="auto"/>
              </w:rPr>
            </w:pPr>
            <w:r>
              <w:rPr>
                <w:rFonts w:ascii="Times New Roman" w:cs="Times New Roman" w:eastAsia="Times New Roman" w:hAnsi="Times New Roman"/>
                <w:sz w:val="14"/>
                <w:szCs w:val="14"/>
                <w:b w:val="1"/>
                <w:bCs w:val="1"/>
                <w:color w:val="231F20"/>
              </w:rPr>
              <w:t>Year ended December 31</w:t>
            </w: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231F20"/>
              </w:rPr>
              <w:t>Note</w:t>
            </w:r>
          </w:p>
        </w:tc>
        <w:tc>
          <w:tcPr>
            <w:tcW w:w="1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231F20"/>
              </w:rPr>
              <w:t>2023</w:t>
            </w:r>
          </w:p>
        </w:tc>
        <w:tc>
          <w:tcPr>
            <w:tcW w:w="20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color w:val="231F20"/>
              </w:rPr>
              <w:t>​​​</w:t>
            </w:r>
          </w:p>
        </w:tc>
        <w:tc>
          <w:tcPr>
            <w:tcW w:w="960" w:type="dxa"/>
            <w:vAlign w:val="bottom"/>
            <w:tcBorders>
              <w:top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231F20"/>
              </w:rPr>
              <w:t>2024</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231F20"/>
              </w:rPr>
              <w:t>​​​</w:t>
            </w:r>
          </w:p>
        </w:tc>
        <w:tc>
          <w:tcPr>
            <w:tcW w:w="960" w:type="dxa"/>
            <w:vAlign w:val="bottom"/>
            <w:tcBorders>
              <w:top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5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231F20"/>
              </w:rPr>
              <w:t>Revenues</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231F20"/>
              </w:rPr>
              <w:t>Service revenues (including revenues from related parties of $23,103, $30,826</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and $30,811 for the years ended December 31, 2023, 2024 and 2025,</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respectively)</w:t>
            </w:r>
          </w:p>
        </w:tc>
        <w:tc>
          <w:tcPr>
            <w:tcW w:w="18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2(l)</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64,546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67,415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56,714</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Product revenues</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2(l)</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7,353</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7,610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33,287</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231F20"/>
              </w:rPr>
              <w:t>Total Revenues</w:t>
            </w:r>
          </w:p>
        </w:tc>
        <w:tc>
          <w:tcPr>
            <w:tcW w:w="18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71,899</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75,025</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90,001</w:t>
            </w: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Cost of revenues</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(55,015)</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(63,622)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(75,840)</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231F20"/>
              </w:rPr>
              <w:t>Gross profit</w:t>
            </w:r>
          </w:p>
        </w:tc>
        <w:tc>
          <w:tcPr>
            <w:tcW w:w="18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16,884</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11,403</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14,161</w:t>
            </w: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Operating expenses:</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231F20"/>
              </w:rPr>
              <w:t>Research and development expenses</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(122,707)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(240,179)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(217,419)</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Selling, general and administrative expenses</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(37,417)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231F20"/>
              </w:rPr>
              <w:t>(56,747)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(57,599)</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231F20"/>
              </w:rPr>
              <w:t>Total operating expenses</w:t>
            </w:r>
          </w:p>
        </w:tc>
        <w:tc>
          <w:tcPr>
            <w:tcW w:w="18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(160,124)</w:t>
            </w:r>
          </w:p>
        </w:tc>
        <w:tc>
          <w:tcPr>
            <w:tcW w:w="14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(296,926)</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(275,018)</w:t>
            </w: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Loss from operations</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(143,240)</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(285,523)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(260,857)</w:t>
            </w:r>
          </w:p>
        </w:tc>
        <w:tc>
          <w:tcPr>
            <w:tcW w:w="0" w:type="dxa"/>
            <w:vAlign w:val="bottom"/>
          </w:tcPr>
          <w:p>
            <w:pPr>
              <w:spacing w:after="0"/>
              <w:rPr>
                <w:sz w:val="1"/>
                <w:szCs w:val="1"/>
                <w:color w:val="auto"/>
              </w:rPr>
            </w:pPr>
          </w:p>
        </w:tc>
      </w:tr>
      <w:tr>
        <w:trPr>
          <w:trHeight w:val="20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231F20"/>
              </w:rPr>
              <w:t>Investment income</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19,389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20,378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42,985</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Changes in fair value of warrants liability</w:t>
            </w:r>
          </w:p>
        </w:tc>
        <w:tc>
          <w:tcPr>
            <w:tcW w:w="720" w:type="dxa"/>
            <w:vAlign w:val="bottom"/>
            <w:gridSpan w:val="2"/>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231F20"/>
              </w:rPr>
              <w:t>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(3,030)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5,617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231F20"/>
              </w:rPr>
              <w:t>Changes in fair value of trading securities</w:t>
            </w:r>
          </w:p>
        </w:tc>
        <w:tc>
          <w:tcPr>
            <w:tcW w:w="72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231F20"/>
              </w:rPr>
              <w:t>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(4,727)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(21,285)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128,031</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Other income, net</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6,154</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5,808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13,083</w:t>
            </w:r>
          </w:p>
        </w:tc>
        <w:tc>
          <w:tcPr>
            <w:tcW w:w="0" w:type="dxa"/>
            <w:vAlign w:val="bottom"/>
          </w:tcPr>
          <w:p>
            <w:pPr>
              <w:spacing w:after="0"/>
              <w:rPr>
                <w:sz w:val="1"/>
                <w:szCs w:val="1"/>
                <w:color w:val="auto"/>
              </w:rPr>
            </w:pPr>
          </w:p>
        </w:tc>
      </w:tr>
      <w:tr>
        <w:trPr>
          <w:trHeight w:val="209"/>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231F20"/>
              </w:rPr>
              <w:t>Loss before income tax</w:t>
            </w:r>
          </w:p>
        </w:tc>
        <w:tc>
          <w:tcPr>
            <w:tcW w:w="18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(125,454)</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(275,005)</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(76,758)</w:t>
            </w: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Income tax benefits (expenses)</w:t>
            </w:r>
          </w:p>
        </w:tc>
        <w:tc>
          <w:tcPr>
            <w:tcW w:w="720" w:type="dxa"/>
            <w:vAlign w:val="bottom"/>
            <w:gridSpan w:val="2"/>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231F20"/>
                <w:w w:val="99"/>
              </w:rPr>
              <w:t>14</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126</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09"/>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231F20"/>
              </w:rPr>
              <w:t>Net loss</w:t>
            </w:r>
          </w:p>
        </w:tc>
        <w:tc>
          <w:tcPr>
            <w:tcW w:w="18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(125,328)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(275,006)</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(76,758)</w:t>
            </w: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Net (loss) income attributable to non-controlling interests</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(516)</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(885)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57,211</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231F20"/>
              </w:rPr>
              <w:t>Net loss attributable to Pony AI Inc.</w:t>
            </w:r>
          </w:p>
        </w:tc>
        <w:tc>
          <w:tcPr>
            <w:tcW w:w="18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(124,812)</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(274,121)</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(133,969)</w:t>
            </w:r>
          </w:p>
        </w:tc>
        <w:tc>
          <w:tcPr>
            <w:tcW w:w="0" w:type="dxa"/>
            <w:vAlign w:val="bottom"/>
          </w:tcPr>
          <w:p>
            <w:pPr>
              <w:spacing w:after="0"/>
              <w:rPr>
                <w:sz w:val="1"/>
                <w:szCs w:val="1"/>
                <w:color w:val="auto"/>
              </w:rPr>
            </w:pPr>
          </w:p>
        </w:tc>
      </w:tr>
      <w:tr>
        <w:trPr>
          <w:trHeight w:val="178"/>
        </w:trPr>
        <w:tc>
          <w:tcPr>
            <w:tcW w:w="58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231F20"/>
              </w:rPr>
              <w:t>Weighted average number of shares outstanding used in computing net loss per</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231F20"/>
              </w:rPr>
              <w:t>share, basic and diluted</w:t>
            </w:r>
          </w:p>
        </w:tc>
        <w:tc>
          <w:tcPr>
            <w:tcW w:w="720" w:type="dxa"/>
            <w:vAlign w:val="bottom"/>
            <w:gridSpan w:val="2"/>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231F20"/>
                <w:w w:val="99"/>
              </w:rPr>
              <w:t>16</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8"/>
              </w:rPr>
              <w:t>89,100,415</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7"/>
              </w:rPr>
              <w:t>114,318,765</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7"/>
              </w:rPr>
              <w:t>379,914,317</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231F20"/>
              </w:rPr>
              <w:t>Net loss per ordinary share and per ADS, basic and diluted</w:t>
            </w:r>
          </w:p>
        </w:tc>
        <w:tc>
          <w:tcPr>
            <w:tcW w:w="72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231F20"/>
                <w:w w:val="99"/>
              </w:rPr>
              <w:t>16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(2.40)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(0.35)</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Net loss</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(125,328)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231F20"/>
              </w:rPr>
              <w:t>(275,006)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(76,758)</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231F20"/>
              </w:rPr>
              <w:t>Foreign currency translation adjustments</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(3,841)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(2,952)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3,933</w:t>
            </w:r>
          </w:p>
        </w:tc>
        <w:tc>
          <w:tcPr>
            <w:tcW w:w="0" w:type="dxa"/>
            <w:vAlign w:val="bottom"/>
          </w:tcPr>
          <w:p>
            <w:pPr>
              <w:spacing w:after="0"/>
              <w:rPr>
                <w:sz w:val="1"/>
                <w:szCs w:val="1"/>
                <w:color w:val="auto"/>
              </w:rPr>
            </w:pPr>
          </w:p>
        </w:tc>
      </w:tr>
      <w:tr>
        <w:trPr>
          <w:trHeight w:val="198"/>
        </w:trPr>
        <w:tc>
          <w:tcPr>
            <w:tcW w:w="5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231F20"/>
              </w:rPr>
              <w:t>Unrealized gain (loss) on available-for-sale investments, net of tax of $243,</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231F20"/>
              </w:rPr>
              <w:t>$(282) and $(27), for the years ended December 31, 2023, 2024 and 2025,</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231F20"/>
              </w:rPr>
              <w:t>respectively</w:t>
            </w: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8,089</w:t>
            </w:r>
          </w:p>
        </w:tc>
        <w:tc>
          <w:tcPr>
            <w:tcW w:w="14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16,089</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(30,609)</w:t>
            </w:r>
          </w:p>
        </w:tc>
        <w:tc>
          <w:tcPr>
            <w:tcW w:w="0" w:type="dxa"/>
            <w:vAlign w:val="bottom"/>
          </w:tcPr>
          <w:p>
            <w:pPr>
              <w:spacing w:after="0"/>
              <w:rPr>
                <w:sz w:val="1"/>
                <w:szCs w:val="1"/>
                <w:color w:val="auto"/>
              </w:rPr>
            </w:pPr>
          </w:p>
        </w:tc>
      </w:tr>
      <w:tr>
        <w:trPr>
          <w:trHeight w:val="209"/>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231F20"/>
              </w:rPr>
              <w:t>Total other comprehensive income (loss)</w:t>
            </w:r>
          </w:p>
        </w:tc>
        <w:tc>
          <w:tcPr>
            <w:tcW w:w="18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4,248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13,137</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(26,676)</w:t>
            </w: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Total comprehensive loss</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(121,080)</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(261,869)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(103,434)</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231F20"/>
              </w:rPr>
              <w:t>Less: Comprehensive (loss) income attributable to non-controlling interest</w:t>
            </w:r>
          </w:p>
        </w:tc>
        <w:tc>
          <w:tcPr>
            <w:tcW w:w="18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(757)</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6,444</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45,568</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Total comprehensive loss attributable to Pony AI Inc.</w:t>
            </w:r>
          </w:p>
        </w:tc>
        <w:tc>
          <w:tcPr>
            <w:tcW w:w="1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(120,323)</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(268,313)</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(149,002)</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Share-based compensation expenses included in:</w:t>
            </w: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Research and development expenses</w:t>
            </w:r>
          </w:p>
        </w:tc>
        <w:tc>
          <w:tcPr>
            <w:tcW w:w="720" w:type="dxa"/>
            <w:vAlign w:val="bottom"/>
            <w:gridSpan w:val="2"/>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231F20"/>
                <w:w w:val="99"/>
              </w:rPr>
              <w:t>13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1,832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102,383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21,115</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231F20"/>
              </w:rPr>
              <w:t>Selling, general and administrative expenses</w:t>
            </w:r>
          </w:p>
        </w:tc>
        <w:tc>
          <w:tcPr>
            <w:tcW w:w="72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231F20"/>
                <w:w w:val="99"/>
              </w:rPr>
              <w:t>13</w:t>
            </w:r>
          </w:p>
        </w:tc>
        <w:tc>
          <w:tcPr>
            <w:tcW w:w="1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1,926</w:t>
            </w:r>
          </w:p>
        </w:tc>
        <w:tc>
          <w:tcPr>
            <w:tcW w:w="1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24,620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9,683</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PONY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(DEFICIT)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USD thousands, except share, per share and per ADS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3"/>
          </w:tcPr>
          <w:p>
            <w:pPr>
              <w:jc w:val="right"/>
              <w:ind w:right="68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3"/>
          </w:tcPr>
          <w:p>
            <w:pPr>
              <w:jc w:val="right"/>
              <w:ind w:right="5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ind w:right="302"/>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221F1F"/>
              </w:rPr>
              <w:t>​​​ Accumulated</w:t>
            </w:r>
          </w:p>
        </w:tc>
        <w:tc>
          <w:tcPr>
            <w:tcW w:w="800" w:type="dxa"/>
            <w:vAlign w:val="bottom"/>
            <w:gridSpan w:val="3"/>
          </w:tcPr>
          <w:p>
            <w:pPr>
              <w:jc w:val="right"/>
              <w:ind w:right="68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b w:val="1"/>
                <w:bCs w:val="1"/>
                <w:color w:val="221F1F"/>
              </w:rPr>
              <w:t>​​​  PONY AI</w:t>
            </w:r>
          </w:p>
        </w:tc>
        <w:tc>
          <w:tcPr>
            <w:tcW w:w="700" w:type="dxa"/>
            <w:vAlign w:val="bottom"/>
            <w:gridSpan w:val="3"/>
          </w:tcPr>
          <w:p>
            <w:pPr>
              <w:jc w:val="right"/>
              <w:ind w:right="58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w:t>
            </w:r>
          </w:p>
        </w:tc>
      </w:tr>
      <w:tr>
        <w:trPr>
          <w:trHeight w:val="135"/>
        </w:trPr>
        <w:tc>
          <w:tcPr>
            <w:tcW w:w="2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2"/>
                <w:szCs w:val="12"/>
                <w:b w:val="1"/>
                <w:bCs w:val="1"/>
                <w:color w:val="221F1F"/>
                <w:w w:val="95"/>
              </w:rPr>
              <w:t>Additional</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2"/>
                <w:szCs w:val="12"/>
                <w:b w:val="1"/>
                <w:bCs w:val="1"/>
                <w:color w:val="auto"/>
              </w:rPr>
              <w:t>INC.</w:t>
            </w:r>
          </w:p>
        </w:tc>
        <w:tc>
          <w:tcPr>
            <w:tcW w:w="80" w:type="dxa"/>
            <w:vAlign w:val="bottom"/>
          </w:tcPr>
          <w:p>
            <w:pPr>
              <w:spacing w:after="0"/>
              <w:rPr>
                <w:sz w:val="11"/>
                <w:szCs w:val="11"/>
                <w:color w:val="auto"/>
              </w:rPr>
            </w:pPr>
          </w:p>
        </w:tc>
        <w:tc>
          <w:tcPr>
            <w:tcW w:w="62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2"/>
                <w:szCs w:val="12"/>
                <w:b w:val="1"/>
                <w:bCs w:val="1"/>
                <w:color w:val="221F1F"/>
                <w:w w:val="94"/>
              </w:rPr>
              <w:t>Non-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5"/>
        </w:trPr>
        <w:tc>
          <w:tcPr>
            <w:tcW w:w="2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Borders>
              <w:bottom w:val="single" w:sz="8" w:color="auto"/>
            </w:tcBorders>
            <w:gridSpan w:val="4"/>
          </w:tcPr>
          <w:p>
            <w:pPr>
              <w:jc w:val="right"/>
              <w:ind w:right="122"/>
              <w:spacing w:after="0"/>
              <w:rPr>
                <w:sz w:val="20"/>
                <w:szCs w:val="20"/>
                <w:color w:val="auto"/>
              </w:rPr>
            </w:pPr>
            <w:r>
              <w:rPr>
                <w:rFonts w:ascii="Times New Roman" w:cs="Times New Roman" w:eastAsia="Times New Roman" w:hAnsi="Times New Roman"/>
                <w:sz w:val="12"/>
                <w:szCs w:val="12"/>
                <w:b w:val="1"/>
                <w:bCs w:val="1"/>
                <w:color w:val="221F1F"/>
              </w:rPr>
              <w:t>Ordinary Shares</w:t>
            </w:r>
          </w:p>
        </w:tc>
        <w:tc>
          <w:tcPr>
            <w:tcW w:w="1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221F1F"/>
              </w:rPr>
              <w:t>Paid-in</w:t>
            </w: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221F1F"/>
                <w:w w:val="98"/>
              </w:rPr>
              <w:t>Special</w:t>
            </w:r>
          </w:p>
        </w:tc>
        <w:tc>
          <w:tcPr>
            <w:tcW w:w="140" w:type="dxa"/>
            <w:vAlign w:val="bottom"/>
          </w:tcPr>
          <w:p>
            <w:pPr>
              <w:spacing w:after="0"/>
              <w:rPr>
                <w:sz w:val="12"/>
                <w:szCs w:val="12"/>
                <w:color w:val="auto"/>
              </w:rPr>
            </w:pPr>
          </w:p>
        </w:tc>
        <w:tc>
          <w:tcPr>
            <w:tcW w:w="80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0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221F1F"/>
                <w:w w:val="94"/>
              </w:rPr>
              <w:t>Accumulated</w:t>
            </w:r>
          </w:p>
        </w:tc>
        <w:tc>
          <w:tcPr>
            <w:tcW w:w="100" w:type="dxa"/>
            <w:vAlign w:val="bottom"/>
          </w:tcPr>
          <w:p>
            <w:pPr>
              <w:spacing w:after="0"/>
              <w:rPr>
                <w:sz w:val="12"/>
                <w:szCs w:val="12"/>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221F1F"/>
                <w:w w:val="97"/>
              </w:rPr>
              <w:t>Shareholders’</w:t>
            </w:r>
          </w:p>
        </w:tc>
        <w:tc>
          <w:tcPr>
            <w:tcW w:w="80" w:type="dxa"/>
            <w:vAlign w:val="bottom"/>
          </w:tcPr>
          <w:p>
            <w:pPr>
              <w:spacing w:after="0"/>
              <w:rPr>
                <w:sz w:val="12"/>
                <w:szCs w:val="12"/>
                <w:color w:val="auto"/>
              </w:rPr>
            </w:pPr>
          </w:p>
        </w:tc>
        <w:tc>
          <w:tcPr>
            <w:tcW w:w="62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4"/>
              </w:rPr>
              <w:t>Controlling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28"/>
        </w:trPr>
        <w:tc>
          <w:tcPr>
            <w:tcW w:w="2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221F1F"/>
                <w:w w:val="99"/>
              </w:rPr>
              <w:t>Note</w:t>
            </w:r>
          </w:p>
        </w:tc>
        <w:tc>
          <w:tcPr>
            <w:tcW w:w="120" w:type="dxa"/>
            <w:vAlign w:val="bottom"/>
          </w:tcPr>
          <w:p>
            <w:pPr>
              <w:spacing w:after="0"/>
              <w:rPr>
                <w:sz w:val="11"/>
                <w:szCs w:val="11"/>
                <w:color w:val="auto"/>
              </w:rPr>
            </w:pPr>
          </w:p>
        </w:tc>
        <w:tc>
          <w:tcPr>
            <w:tcW w:w="70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2"/>
                <w:szCs w:val="12"/>
                <w:b w:val="1"/>
                <w:bCs w:val="1"/>
                <w:color w:val="221F1F"/>
              </w:rPr>
              <w:t>Shares</w:t>
            </w:r>
          </w:p>
        </w:tc>
        <w:tc>
          <w:tcPr>
            <w:tcW w:w="50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1"/>
                <w:szCs w:val="11"/>
                <w:color w:val="auto"/>
              </w:rPr>
            </w:pPr>
          </w:p>
        </w:tc>
        <w:tc>
          <w:tcPr>
            <w:tcW w:w="58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2"/>
                <w:szCs w:val="12"/>
                <w:b w:val="1"/>
                <w:bCs w:val="1"/>
                <w:color w:val="auto"/>
              </w:rPr>
              <w:t>Capital</w:t>
            </w:r>
          </w:p>
        </w:tc>
        <w:tc>
          <w:tcPr>
            <w:tcW w:w="8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221F1F"/>
                <w:w w:val="93"/>
              </w:rPr>
              <w:t>Reserve</w:t>
            </w:r>
          </w:p>
        </w:tc>
        <w:tc>
          <w:tcPr>
            <w:tcW w:w="140" w:type="dxa"/>
            <w:vAlign w:val="bottom"/>
          </w:tcPr>
          <w:p>
            <w:pPr>
              <w:spacing w:after="0"/>
              <w:rPr>
                <w:sz w:val="11"/>
                <w:szCs w:val="11"/>
                <w:color w:val="auto"/>
              </w:rPr>
            </w:pPr>
          </w:p>
        </w:tc>
        <w:tc>
          <w:tcPr>
            <w:tcW w:w="800" w:type="dxa"/>
            <w:vAlign w:val="bottom"/>
            <w:gridSpan w:val="2"/>
          </w:tcPr>
          <w:p>
            <w:pPr>
              <w:jc w:val="center"/>
              <w:ind w:right="20"/>
              <w:spacing w:after="0" w:line="129" w:lineRule="exact"/>
              <w:rPr>
                <w:sz w:val="20"/>
                <w:szCs w:val="20"/>
                <w:color w:val="auto"/>
              </w:rPr>
            </w:pPr>
            <w:r>
              <w:rPr>
                <w:rFonts w:ascii="Times New Roman" w:cs="Times New Roman" w:eastAsia="Times New Roman" w:hAnsi="Times New Roman"/>
                <w:sz w:val="12"/>
                <w:szCs w:val="12"/>
                <w:b w:val="1"/>
                <w:bCs w:val="1"/>
                <w:color w:val="221F1F"/>
                <w:w w:val="96"/>
              </w:rPr>
              <w:t>(Loss) Income</w:t>
            </w:r>
          </w:p>
        </w:tc>
        <w:tc>
          <w:tcPr>
            <w:tcW w:w="100" w:type="dxa"/>
            <w:vAlign w:val="bottom"/>
          </w:tcPr>
          <w:p>
            <w:pPr>
              <w:spacing w:after="0"/>
              <w:rPr>
                <w:sz w:val="11"/>
                <w:szCs w:val="11"/>
                <w:color w:val="auto"/>
              </w:rPr>
            </w:pPr>
          </w:p>
        </w:tc>
        <w:tc>
          <w:tcPr>
            <w:tcW w:w="70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2"/>
                <w:szCs w:val="12"/>
                <w:b w:val="1"/>
                <w:bCs w:val="1"/>
                <w:color w:val="221F1F"/>
              </w:rPr>
              <w:t>Deficit</w:t>
            </w:r>
          </w:p>
        </w:tc>
        <w:tc>
          <w:tcPr>
            <w:tcW w:w="100" w:type="dxa"/>
            <w:vAlign w:val="bottom"/>
          </w:tcPr>
          <w:p>
            <w:pPr>
              <w:spacing w:after="0"/>
              <w:rPr>
                <w:sz w:val="11"/>
                <w:szCs w:val="11"/>
                <w:color w:val="auto"/>
              </w:rPr>
            </w:pPr>
          </w:p>
        </w:tc>
        <w:tc>
          <w:tcPr>
            <w:tcW w:w="820" w:type="dxa"/>
            <w:vAlign w:val="bottom"/>
            <w:gridSpan w:val="2"/>
          </w:tcPr>
          <w:p>
            <w:pPr>
              <w:jc w:val="center"/>
              <w:ind w:right="40"/>
              <w:spacing w:after="0" w:line="129" w:lineRule="exact"/>
              <w:rPr>
                <w:sz w:val="20"/>
                <w:szCs w:val="20"/>
                <w:color w:val="auto"/>
              </w:rPr>
            </w:pPr>
            <w:r>
              <w:rPr>
                <w:rFonts w:ascii="Times New Roman" w:cs="Times New Roman" w:eastAsia="Times New Roman" w:hAnsi="Times New Roman"/>
                <w:sz w:val="12"/>
                <w:szCs w:val="12"/>
                <w:b w:val="1"/>
                <w:bCs w:val="1"/>
                <w:color w:val="221F1F"/>
                <w:w w:val="97"/>
              </w:rPr>
              <w:t>(Deficit) Equity</w:t>
            </w:r>
          </w:p>
        </w:tc>
        <w:tc>
          <w:tcPr>
            <w:tcW w:w="80" w:type="dxa"/>
            <w:vAlign w:val="bottom"/>
          </w:tcPr>
          <w:p>
            <w:pPr>
              <w:spacing w:after="0"/>
              <w:rPr>
                <w:sz w:val="11"/>
                <w:szCs w:val="11"/>
                <w:color w:val="auto"/>
              </w:rPr>
            </w:pPr>
          </w:p>
        </w:tc>
        <w:tc>
          <w:tcPr>
            <w:tcW w:w="620" w:type="dxa"/>
            <w:vAlign w:val="bottom"/>
            <w:gridSpan w:val="2"/>
          </w:tcPr>
          <w:p>
            <w:pPr>
              <w:jc w:val="center"/>
              <w:ind w:right="20"/>
              <w:spacing w:after="0" w:line="129" w:lineRule="exact"/>
              <w:rPr>
                <w:sz w:val="20"/>
                <w:szCs w:val="20"/>
                <w:color w:val="auto"/>
              </w:rPr>
            </w:pPr>
            <w:r>
              <w:rPr>
                <w:rFonts w:ascii="Times New Roman" w:cs="Times New Roman" w:eastAsia="Times New Roman" w:hAnsi="Times New Roman"/>
                <w:sz w:val="12"/>
                <w:szCs w:val="12"/>
                <w:b w:val="1"/>
                <w:bCs w:val="1"/>
                <w:color w:val="221F1F"/>
                <w:w w:val="98"/>
              </w:rPr>
              <w:t>Interests</w:t>
            </w:r>
          </w:p>
        </w:tc>
        <w:tc>
          <w:tcPr>
            <w:tcW w:w="100" w:type="dxa"/>
            <w:vAlign w:val="bottom"/>
          </w:tcPr>
          <w:p>
            <w:pPr>
              <w:spacing w:after="0"/>
              <w:rPr>
                <w:sz w:val="11"/>
                <w:szCs w:val="11"/>
                <w:color w:val="auto"/>
              </w:rPr>
            </w:pPr>
          </w:p>
        </w:tc>
        <w:tc>
          <w:tcPr>
            <w:tcW w:w="58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2"/>
                <w:szCs w:val="12"/>
                <w:b w:val="1"/>
                <w:bCs w:val="1"/>
                <w:color w:val="auto"/>
              </w:rPr>
              <w:t>Total</w:t>
            </w:r>
          </w:p>
        </w:tc>
      </w:tr>
      <w:tr>
        <w:trPr>
          <w:trHeight w:val="128"/>
        </w:trPr>
        <w:tc>
          <w:tcPr>
            <w:tcW w:w="304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221F1F"/>
              </w:rPr>
              <w:t>Balances as of January 1, 2023</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91,797,532</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44</w:t>
            </w: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63,200</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91</w:t>
            </w:r>
          </w:p>
        </w:tc>
        <w:tc>
          <w:tcPr>
            <w:tcW w:w="1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(163)</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(614,659)</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(551,487)</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11,902</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(539,585)</w:t>
            </w:r>
          </w:p>
        </w:tc>
        <w:tc>
          <w:tcPr>
            <w:tcW w:w="20" w:type="dxa"/>
            <w:vAlign w:val="bottom"/>
          </w:tcPr>
          <w:p>
            <w:pPr>
              <w:spacing w:after="0"/>
              <w:rPr>
                <w:sz w:val="11"/>
                <w:szCs w:val="11"/>
                <w:color w:val="auto"/>
              </w:rPr>
            </w:pPr>
          </w:p>
        </w:tc>
      </w:tr>
      <w:tr>
        <w:trPr>
          <w:trHeight w:val="107"/>
        </w:trPr>
        <w:tc>
          <w:tcPr>
            <w:tcW w:w="3040" w:type="dxa"/>
            <w:vAlign w:val="bottom"/>
            <w:gridSpan w:val="2"/>
          </w:tcPr>
          <w:p>
            <w:pPr>
              <w:spacing w:after="0" w:line="107" w:lineRule="exact"/>
              <w:rPr>
                <w:sz w:val="20"/>
                <w:szCs w:val="20"/>
                <w:color w:val="auto"/>
              </w:rPr>
            </w:pPr>
            <w:r>
              <w:rPr>
                <w:rFonts w:ascii="Times New Roman" w:cs="Times New Roman" w:eastAsia="Times New Roman" w:hAnsi="Times New Roman"/>
                <w:sz w:val="12"/>
                <w:szCs w:val="12"/>
                <w:color w:val="221F1F"/>
              </w:rPr>
              <w:t>Issuance of Class A ordinary shares upon vesting of restricted</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3"/>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221F1F"/>
              </w:rPr>
              <w:t>stock units (“RSUs”)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37,500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221F1F"/>
              </w:rPr>
              <w:t>—</w:t>
            </w:r>
          </w:p>
        </w:tc>
        <w:tc>
          <w:tcPr>
            <w:tcW w:w="10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221F1F"/>
              </w:rPr>
              <w:t>—</w:t>
            </w:r>
          </w:p>
        </w:tc>
        <w:tc>
          <w:tcPr>
            <w:tcW w:w="10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221F1F"/>
              </w:rPr>
              <w:t>—</w:t>
            </w:r>
          </w:p>
        </w:tc>
        <w:tc>
          <w:tcPr>
            <w:tcW w:w="8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221F1F"/>
              </w:rPr>
              <w:t>—</w:t>
            </w:r>
          </w:p>
        </w:tc>
        <w:tc>
          <w:tcPr>
            <w:tcW w:w="10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221F1F"/>
              </w:rPr>
              <w:t>—</w:t>
            </w:r>
          </w:p>
        </w:tc>
      </w:tr>
      <w:tr>
        <w:trPr>
          <w:trHeight w:val="127"/>
        </w:trPr>
        <w:tc>
          <w:tcPr>
            <w:tcW w:w="3040" w:type="dxa"/>
            <w:vAlign w:val="bottom"/>
            <w:gridSpan w:val="2"/>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221F1F"/>
              </w:rPr>
              <w:t>Deemed distribution from repurchase of Series A convertible</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3"/>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221F1F"/>
              </w:rPr>
              <w:t>redeemable preferred shares</w:t>
            </w:r>
          </w:p>
        </w:tc>
        <w:tc>
          <w:tcPr>
            <w:tcW w:w="360" w:type="dxa"/>
            <w:vAlign w:val="bottom"/>
            <w:gridSpan w:val="2"/>
            <w:shd w:val="clear" w:color="auto" w:fill="CCEEFF"/>
          </w:tcPr>
          <w:p>
            <w:pPr>
              <w:jc w:val="center"/>
              <w:ind w:left="62"/>
              <w:spacing w:after="0"/>
              <w:rPr>
                <w:sz w:val="20"/>
                <w:szCs w:val="20"/>
                <w:color w:val="auto"/>
              </w:rPr>
            </w:pPr>
            <w:r>
              <w:rPr>
                <w:rFonts w:ascii="Times New Roman" w:cs="Times New Roman" w:eastAsia="Times New Roman" w:hAnsi="Times New Roman"/>
                <w:sz w:val="12"/>
                <w:szCs w:val="12"/>
                <w:color w:val="auto"/>
                <w:w w:val="99"/>
              </w:rPr>
              <w:t>12</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221F1F"/>
              </w:rPr>
              <w:t>(4,646)</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221F1F"/>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221F1F"/>
              </w:rPr>
              <w:t>—</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221F1F"/>
              </w:rPr>
              <w:t>(4,646)</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221F1F"/>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221F1F"/>
              </w:rPr>
              <w:t>(4,646)</w:t>
            </w:r>
          </w:p>
        </w:tc>
        <w:tc>
          <w:tcPr>
            <w:tcW w:w="20" w:type="dxa"/>
            <w:vAlign w:val="bottom"/>
          </w:tcPr>
          <w:p>
            <w:pPr>
              <w:spacing w:after="0"/>
              <w:rPr>
                <w:sz w:val="12"/>
                <w:szCs w:val="12"/>
                <w:color w:val="auto"/>
              </w:rPr>
            </w:pPr>
          </w:p>
        </w:tc>
      </w:tr>
      <w:tr>
        <w:trPr>
          <w:trHeight w:val="135"/>
        </w:trPr>
        <w:tc>
          <w:tcPr>
            <w:tcW w:w="304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221F1F"/>
              </w:rPr>
              <w:t>Repurchase of ordinary shares (note a)</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(85,873)</w:t>
            </w: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2"/>
                <w:szCs w:val="12"/>
                <w:color w:val="221F1F"/>
              </w:rPr>
              <w:t>(994)</w:t>
            </w: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221F1F"/>
              </w:rPr>
              <w:t>—</w:t>
            </w:r>
          </w:p>
        </w:tc>
        <w:tc>
          <w:tcPr>
            <w:tcW w:w="10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221F1F"/>
              </w:rPr>
              <w:t>—</w:t>
            </w:r>
          </w:p>
        </w:tc>
        <w:tc>
          <w:tcPr>
            <w:tcW w:w="9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2"/>
                <w:szCs w:val="12"/>
                <w:color w:val="221F1F"/>
              </w:rPr>
              <w:t>(994)</w:t>
            </w: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221F1F"/>
              </w:rPr>
              <w:t>—</w:t>
            </w: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221F1F"/>
              </w:rPr>
              <w:t>(994)</w:t>
            </w:r>
          </w:p>
        </w:tc>
        <w:tc>
          <w:tcPr>
            <w:tcW w:w="20" w:type="dxa"/>
            <w:vAlign w:val="bottom"/>
          </w:tcPr>
          <w:p>
            <w:pPr>
              <w:spacing w:after="0"/>
              <w:rPr>
                <w:sz w:val="11"/>
                <w:szCs w:val="11"/>
                <w:color w:val="auto"/>
              </w:rPr>
            </w:pPr>
          </w:p>
        </w:tc>
      </w:tr>
      <w:tr>
        <w:trPr>
          <w:trHeight w:val="135"/>
        </w:trPr>
        <w:tc>
          <w:tcPr>
            <w:tcW w:w="30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221F1F"/>
              </w:rPr>
              <w:t>Settlement of RSUs and share options</w:t>
            </w:r>
          </w:p>
        </w:tc>
        <w:tc>
          <w:tcPr>
            <w:tcW w:w="360" w:type="dxa"/>
            <w:vAlign w:val="bottom"/>
            <w:gridSpan w:val="2"/>
            <w:shd w:val="clear" w:color="auto" w:fill="CCEEFF"/>
          </w:tcPr>
          <w:p>
            <w:pPr>
              <w:jc w:val="center"/>
              <w:ind w:left="62"/>
              <w:spacing w:after="0" w:line="135" w:lineRule="exact"/>
              <w:rPr>
                <w:sz w:val="20"/>
                <w:szCs w:val="20"/>
                <w:color w:val="auto"/>
              </w:rPr>
            </w:pPr>
            <w:r>
              <w:rPr>
                <w:rFonts w:ascii="Times New Roman" w:cs="Times New Roman" w:eastAsia="Times New Roman" w:hAnsi="Times New Roman"/>
                <w:sz w:val="12"/>
                <w:szCs w:val="12"/>
                <w:color w:val="221F1F"/>
                <w:w w:val="99"/>
              </w:rPr>
              <w:t>13</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2"/>
                <w:szCs w:val="12"/>
                <w:color w:val="221F1F"/>
              </w:rPr>
              <w:t>(3,054)</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221F1F"/>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221F1F"/>
              </w:rPr>
              <w:t>—</w:t>
            </w:r>
          </w:p>
        </w:tc>
        <w:tc>
          <w:tcPr>
            <w:tcW w:w="9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2"/>
                <w:szCs w:val="12"/>
                <w:color w:val="221F1F"/>
              </w:rPr>
              <w:t>(3,054)</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221F1F"/>
              </w:rPr>
              <w:t>—</w:t>
            </w:r>
          </w:p>
        </w:tc>
        <w:tc>
          <w:tcPr>
            <w:tcW w:w="6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221F1F"/>
              </w:rPr>
              <w:t>(3,054)</w:t>
            </w:r>
          </w:p>
        </w:tc>
        <w:tc>
          <w:tcPr>
            <w:tcW w:w="20" w:type="dxa"/>
            <w:vAlign w:val="bottom"/>
          </w:tcPr>
          <w:p>
            <w:pPr>
              <w:spacing w:after="0"/>
              <w:rPr>
                <w:sz w:val="11"/>
                <w:szCs w:val="11"/>
                <w:color w:val="auto"/>
              </w:rPr>
            </w:pPr>
          </w:p>
        </w:tc>
      </w:tr>
      <w:tr>
        <w:trPr>
          <w:trHeight w:val="135"/>
        </w:trPr>
        <w:tc>
          <w:tcPr>
            <w:tcW w:w="304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221F1F"/>
              </w:rPr>
              <w:t>Share-based compensation</w:t>
            </w:r>
          </w:p>
        </w:tc>
        <w:tc>
          <w:tcPr>
            <w:tcW w:w="360" w:type="dxa"/>
            <w:vAlign w:val="bottom"/>
            <w:gridSpan w:val="2"/>
          </w:tcPr>
          <w:p>
            <w:pPr>
              <w:jc w:val="center"/>
              <w:ind w:left="62"/>
              <w:spacing w:after="0" w:line="135" w:lineRule="exact"/>
              <w:rPr>
                <w:sz w:val="20"/>
                <w:szCs w:val="20"/>
                <w:color w:val="auto"/>
              </w:rPr>
            </w:pPr>
            <w:r>
              <w:rPr>
                <w:rFonts w:ascii="Times New Roman" w:cs="Times New Roman" w:eastAsia="Times New Roman" w:hAnsi="Times New Roman"/>
                <w:sz w:val="12"/>
                <w:szCs w:val="12"/>
                <w:color w:val="221F1F"/>
                <w:w w:val="99"/>
              </w:rPr>
              <w:t>13</w:t>
            </w:r>
          </w:p>
        </w:tc>
        <w:tc>
          <w:tcPr>
            <w:tcW w:w="12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w:t>
            </w: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221F1F"/>
              </w:rPr>
              <w:t>3,253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221F1F"/>
              </w:rPr>
              <w:t>—</w:t>
            </w:r>
          </w:p>
        </w:tc>
        <w:tc>
          <w:tcPr>
            <w:tcW w:w="10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221F1F"/>
              </w:rPr>
              <w:t>—</w:t>
            </w: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221F1F"/>
              </w:rPr>
              <w:t>3,254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221F1F"/>
              </w:rPr>
              <w:t>—</w:t>
            </w: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221F1F"/>
              </w:rPr>
              <w:t>3,254</w:t>
            </w:r>
          </w:p>
        </w:tc>
        <w:tc>
          <w:tcPr>
            <w:tcW w:w="20" w:type="dxa"/>
            <w:vAlign w:val="bottom"/>
          </w:tcPr>
          <w:p>
            <w:pPr>
              <w:spacing w:after="0"/>
              <w:rPr>
                <w:sz w:val="11"/>
                <w:szCs w:val="11"/>
                <w:color w:val="auto"/>
              </w:rPr>
            </w:pPr>
          </w:p>
        </w:tc>
      </w:tr>
      <w:tr>
        <w:trPr>
          <w:trHeight w:val="135"/>
        </w:trPr>
        <w:tc>
          <w:tcPr>
            <w:tcW w:w="30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221F1F"/>
              </w:rPr>
              <w:t>Other comprehensive income (loss)</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221F1F"/>
              </w:rPr>
              <w:t>4,489</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221F1F"/>
              </w:rPr>
              <w:t>—</w:t>
            </w:r>
          </w:p>
        </w:tc>
        <w:tc>
          <w:tcPr>
            <w:tcW w:w="8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221F1F"/>
              </w:rPr>
              <w:t>4,489</w:t>
            </w:r>
          </w:p>
        </w:tc>
        <w:tc>
          <w:tcPr>
            <w:tcW w:w="4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color w:val="221F1F"/>
              </w:rPr>
              <w:t>(241)</w:t>
            </w:r>
          </w:p>
        </w:tc>
        <w:tc>
          <w:tcPr>
            <w:tcW w:w="6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221F1F"/>
              </w:rPr>
              <w:t>4,248</w:t>
            </w:r>
          </w:p>
        </w:tc>
        <w:tc>
          <w:tcPr>
            <w:tcW w:w="20" w:type="dxa"/>
            <w:vAlign w:val="bottom"/>
          </w:tcPr>
          <w:p>
            <w:pPr>
              <w:spacing w:after="0"/>
              <w:rPr>
                <w:sz w:val="11"/>
                <w:szCs w:val="11"/>
                <w:color w:val="auto"/>
              </w:rPr>
            </w:pPr>
          </w:p>
        </w:tc>
      </w:tr>
      <w:tr>
        <w:trPr>
          <w:trHeight w:val="135"/>
        </w:trPr>
        <w:tc>
          <w:tcPr>
            <w:tcW w:w="304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221F1F"/>
              </w:rPr>
              <w:t>Provision of special reserve (note b)</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57</w:t>
            </w:r>
          </w:p>
        </w:tc>
        <w:tc>
          <w:tcPr>
            <w:tcW w:w="14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221F1F"/>
              </w:rPr>
              <w:t>—</w:t>
            </w:r>
          </w:p>
        </w:tc>
        <w:tc>
          <w:tcPr>
            <w:tcW w:w="80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(57)</w:t>
            </w:r>
          </w:p>
        </w:tc>
        <w:tc>
          <w:tcPr>
            <w:tcW w:w="10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221F1F"/>
              </w:rPr>
              <w:t>—</w:t>
            </w: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221F1F"/>
              </w:rPr>
              <w:t>—</w:t>
            </w: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221F1F"/>
              </w:rPr>
              <w:t>—</w:t>
            </w:r>
          </w:p>
        </w:tc>
        <w:tc>
          <w:tcPr>
            <w:tcW w:w="20" w:type="dxa"/>
            <w:vAlign w:val="bottom"/>
          </w:tcPr>
          <w:p>
            <w:pPr>
              <w:spacing w:after="0"/>
              <w:rPr>
                <w:sz w:val="11"/>
                <w:szCs w:val="11"/>
                <w:color w:val="auto"/>
              </w:rPr>
            </w:pPr>
          </w:p>
        </w:tc>
      </w:tr>
      <w:tr>
        <w:trPr>
          <w:trHeight w:val="135"/>
        </w:trPr>
        <w:tc>
          <w:tcPr>
            <w:tcW w:w="30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221F1F"/>
              </w:rPr>
              <w:t>Net loss</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221F1F"/>
              </w:rPr>
              <w:t>—</w:t>
            </w:r>
          </w:p>
        </w:tc>
        <w:tc>
          <w:tcPr>
            <w:tcW w:w="80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color w:val="221F1F"/>
              </w:rPr>
              <w:t>(124,812)</w:t>
            </w:r>
          </w:p>
        </w:tc>
        <w:tc>
          <w:tcPr>
            <w:tcW w:w="9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2"/>
                <w:szCs w:val="12"/>
                <w:color w:val="221F1F"/>
              </w:rPr>
              <w:t>(124,812)</w:t>
            </w:r>
          </w:p>
        </w:tc>
        <w:tc>
          <w:tcPr>
            <w:tcW w:w="70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color w:val="221F1F"/>
              </w:rPr>
              <w:t>(516)</w:t>
            </w:r>
          </w:p>
        </w:tc>
        <w:tc>
          <w:tcPr>
            <w:tcW w:w="6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221F1F"/>
              </w:rPr>
              <w:t>(125,328)</w:t>
            </w:r>
          </w:p>
        </w:tc>
        <w:tc>
          <w:tcPr>
            <w:tcW w:w="20" w:type="dxa"/>
            <w:vAlign w:val="bottom"/>
          </w:tcPr>
          <w:p>
            <w:pPr>
              <w:spacing w:after="0"/>
              <w:rPr>
                <w:sz w:val="11"/>
                <w:szCs w:val="11"/>
                <w:color w:val="auto"/>
              </w:rPr>
            </w:pPr>
          </w:p>
        </w:tc>
      </w:tr>
      <w:tr>
        <w:trPr>
          <w:trHeight w:val="128"/>
        </w:trPr>
        <w:tc>
          <w:tcPr>
            <w:tcW w:w="304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Balances as of December 31, 2023</w:t>
            </w: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221F1F"/>
              </w:rPr>
              <w:t>91,749,159</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221F1F"/>
              </w:rPr>
              <w:t>45</w:t>
            </w:r>
          </w:p>
        </w:tc>
        <w:tc>
          <w:tcPr>
            <w:tcW w:w="120" w:type="dxa"/>
            <w:vAlign w:val="bottom"/>
            <w:tcBorders>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221F1F"/>
              </w:rPr>
              <w:t>57,759</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148</w:t>
            </w:r>
          </w:p>
        </w:tc>
        <w:tc>
          <w:tcPr>
            <w:tcW w:w="14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221F1F"/>
              </w:rPr>
              <w:t>4,326</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221F1F"/>
              </w:rPr>
              <w:t>(739,528)</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221F1F"/>
              </w:rPr>
              <w:t>(677,250)</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221F1F"/>
              </w:rPr>
              <w:t>11,145</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221F1F"/>
              </w:rPr>
              <w:t>(666,105)</w:t>
            </w:r>
          </w:p>
        </w:tc>
        <w:tc>
          <w:tcPr>
            <w:tcW w:w="20" w:type="dxa"/>
            <w:vAlign w:val="bottom"/>
          </w:tcPr>
          <w:p>
            <w:pPr>
              <w:spacing w:after="0"/>
              <w:rPr>
                <w:sz w:val="11"/>
                <w:szCs w:val="11"/>
                <w:color w:val="auto"/>
              </w:rPr>
            </w:pPr>
          </w:p>
        </w:tc>
      </w:tr>
      <w:tr>
        <w:trPr>
          <w:trHeight w:val="107"/>
        </w:trPr>
        <w:tc>
          <w:tcPr>
            <w:tcW w:w="3040" w:type="dxa"/>
            <w:vAlign w:val="bottom"/>
            <w:gridSpan w:val="2"/>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w w:val="99"/>
              </w:rPr>
              <w:t>Issuance of Class A ordinary shares upon the completion of the</w:t>
            </w: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43"/>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initial public offering (“IPO”), net of issuance cost</w:t>
            </w:r>
          </w:p>
        </w:tc>
        <w:tc>
          <w:tcPr>
            <w:tcW w:w="360" w:type="dxa"/>
            <w:vAlign w:val="bottom"/>
            <w:gridSpan w:val="2"/>
            <w:shd w:val="clear" w:color="auto" w:fill="CCEEFF"/>
          </w:tcPr>
          <w:p>
            <w:pPr>
              <w:jc w:val="center"/>
              <w:ind w:left="62"/>
              <w:spacing w:after="0"/>
              <w:rPr>
                <w:sz w:val="20"/>
                <w:szCs w:val="20"/>
                <w:color w:val="auto"/>
              </w:rPr>
            </w:pPr>
            <w:r>
              <w:rPr>
                <w:rFonts w:ascii="Times New Roman" w:cs="Times New Roman" w:eastAsia="Times New Roman" w:hAnsi="Times New Roman"/>
                <w:sz w:val="12"/>
                <w:szCs w:val="12"/>
                <w:color w:val="auto"/>
                <w:w w:val="99"/>
              </w:rPr>
              <w:t>11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21,461,410</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256,656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256,666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256,666</w:t>
            </w:r>
          </w:p>
        </w:tc>
        <w:tc>
          <w:tcPr>
            <w:tcW w:w="20" w:type="dxa"/>
            <w:vAlign w:val="bottom"/>
          </w:tcPr>
          <w:p>
            <w:pPr>
              <w:spacing w:after="0"/>
              <w:rPr>
                <w:sz w:val="12"/>
                <w:szCs w:val="12"/>
                <w:color w:val="auto"/>
              </w:rPr>
            </w:pPr>
          </w:p>
        </w:tc>
      </w:tr>
      <w:tr>
        <w:trPr>
          <w:trHeight w:val="127"/>
        </w:trPr>
        <w:tc>
          <w:tcPr>
            <w:tcW w:w="3040" w:type="dxa"/>
            <w:vAlign w:val="bottom"/>
            <w:gridSpan w:val="2"/>
          </w:tcPr>
          <w:p>
            <w:pPr>
              <w:spacing w:after="0" w:line="127" w:lineRule="exact"/>
              <w:rPr>
                <w:sz w:val="20"/>
                <w:szCs w:val="20"/>
                <w:color w:val="auto"/>
              </w:rPr>
            </w:pPr>
            <w:r>
              <w:rPr>
                <w:rFonts w:ascii="Times New Roman" w:cs="Times New Roman" w:eastAsia="Times New Roman" w:hAnsi="Times New Roman"/>
                <w:sz w:val="12"/>
                <w:szCs w:val="12"/>
                <w:color w:val="auto"/>
              </w:rPr>
              <w:t>Issuance of Class A ordinary shares in the concurrent private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3"/>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placements (“CPP”), net of issuance cost</w:t>
            </w:r>
          </w:p>
        </w:tc>
        <w:tc>
          <w:tcPr>
            <w:tcW w:w="360" w:type="dxa"/>
            <w:vAlign w:val="bottom"/>
            <w:gridSpan w:val="2"/>
          </w:tcPr>
          <w:p>
            <w:pPr>
              <w:jc w:val="center"/>
              <w:ind w:left="62"/>
              <w:spacing w:after="0"/>
              <w:rPr>
                <w:sz w:val="20"/>
                <w:szCs w:val="20"/>
                <w:color w:val="auto"/>
              </w:rPr>
            </w:pPr>
            <w:r>
              <w:rPr>
                <w:rFonts w:ascii="Times New Roman" w:cs="Times New Roman" w:eastAsia="Times New Roman" w:hAnsi="Times New Roman"/>
                <w:sz w:val="12"/>
                <w:szCs w:val="12"/>
                <w:color w:val="auto"/>
                <w:w w:val="99"/>
              </w:rPr>
              <w:t>11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11,672,186</w:t>
            </w:r>
          </w:p>
        </w:tc>
        <w:tc>
          <w:tcPr>
            <w:tcW w:w="4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151,732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151,738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151,738</w:t>
            </w:r>
          </w:p>
        </w:tc>
        <w:tc>
          <w:tcPr>
            <w:tcW w:w="20" w:type="dxa"/>
            <w:vAlign w:val="bottom"/>
          </w:tcPr>
          <w:p>
            <w:pPr>
              <w:spacing w:after="0"/>
              <w:rPr>
                <w:sz w:val="12"/>
                <w:szCs w:val="12"/>
                <w:color w:val="auto"/>
              </w:rPr>
            </w:pPr>
          </w:p>
        </w:tc>
      </w:tr>
      <w:tr>
        <w:trPr>
          <w:trHeight w:val="127"/>
        </w:trPr>
        <w:tc>
          <w:tcPr>
            <w:tcW w:w="3040" w:type="dxa"/>
            <w:vAlign w:val="bottom"/>
            <w:gridSpan w:val="2"/>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auto"/>
                <w:w w:val="99"/>
              </w:rPr>
              <w:t>Conversion of preferred shares to Class A ordinary shares upon</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3"/>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the completion of the IPO</w:t>
            </w:r>
          </w:p>
        </w:tc>
        <w:tc>
          <w:tcPr>
            <w:tcW w:w="360" w:type="dxa"/>
            <w:vAlign w:val="bottom"/>
            <w:gridSpan w:val="2"/>
            <w:shd w:val="clear" w:color="auto" w:fill="CCEEFF"/>
          </w:tcPr>
          <w:p>
            <w:pPr>
              <w:jc w:val="center"/>
              <w:ind w:left="62"/>
              <w:spacing w:after="0"/>
              <w:rPr>
                <w:sz w:val="20"/>
                <w:szCs w:val="20"/>
                <w:color w:val="auto"/>
              </w:rPr>
            </w:pPr>
            <w:r>
              <w:rPr>
                <w:rFonts w:ascii="Times New Roman" w:cs="Times New Roman" w:eastAsia="Times New Roman" w:hAnsi="Times New Roman"/>
                <w:sz w:val="12"/>
                <w:szCs w:val="12"/>
                <w:color w:val="auto"/>
                <w:w w:val="99"/>
              </w:rPr>
              <w:t>11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225,409,798</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1,695,191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1,695,304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1,695,304</w:t>
            </w:r>
          </w:p>
        </w:tc>
        <w:tc>
          <w:tcPr>
            <w:tcW w:w="20" w:type="dxa"/>
            <w:vAlign w:val="bottom"/>
          </w:tcPr>
          <w:p>
            <w:pPr>
              <w:spacing w:after="0"/>
              <w:rPr>
                <w:sz w:val="12"/>
                <w:szCs w:val="12"/>
                <w:color w:val="auto"/>
              </w:rPr>
            </w:pPr>
          </w:p>
        </w:tc>
      </w:tr>
      <w:tr>
        <w:trPr>
          <w:trHeight w:val="135"/>
        </w:trPr>
        <w:tc>
          <w:tcPr>
            <w:tcW w:w="304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Accretion of convertible redeemable preferred shares</w:t>
            </w:r>
          </w:p>
        </w:tc>
        <w:tc>
          <w:tcPr>
            <w:tcW w:w="360" w:type="dxa"/>
            <w:vAlign w:val="bottom"/>
            <w:gridSpan w:val="2"/>
          </w:tcPr>
          <w:p>
            <w:pPr>
              <w:jc w:val="center"/>
              <w:ind w:left="62"/>
              <w:spacing w:after="0" w:line="135" w:lineRule="exact"/>
              <w:rPr>
                <w:sz w:val="20"/>
                <w:szCs w:val="20"/>
                <w:color w:val="auto"/>
              </w:rPr>
            </w:pPr>
            <w:r>
              <w:rPr>
                <w:rFonts w:ascii="Times New Roman" w:cs="Times New Roman" w:eastAsia="Times New Roman" w:hAnsi="Times New Roman"/>
                <w:sz w:val="12"/>
                <w:szCs w:val="12"/>
                <w:color w:val="auto"/>
                <w:w w:val="99"/>
              </w:rPr>
              <w:t>12</w:t>
            </w:r>
          </w:p>
        </w:tc>
        <w:tc>
          <w:tcPr>
            <w:tcW w:w="12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(59,896)</w:t>
            </w: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(12,658)</w:t>
            </w:r>
          </w:p>
        </w:tc>
        <w:tc>
          <w:tcPr>
            <w:tcW w:w="9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(72,554)</w:t>
            </w: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(72,554)</w:t>
            </w:r>
          </w:p>
        </w:tc>
        <w:tc>
          <w:tcPr>
            <w:tcW w:w="20" w:type="dxa"/>
            <w:vAlign w:val="bottom"/>
          </w:tcPr>
          <w:p>
            <w:pPr>
              <w:spacing w:after="0"/>
              <w:rPr>
                <w:sz w:val="11"/>
                <w:szCs w:val="11"/>
                <w:color w:val="auto"/>
              </w:rPr>
            </w:pPr>
          </w:p>
        </w:tc>
      </w:tr>
      <w:tr>
        <w:trPr>
          <w:trHeight w:val="135"/>
        </w:trPr>
        <w:tc>
          <w:tcPr>
            <w:tcW w:w="30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Modification of convertible redeemable preferred shares</w:t>
            </w:r>
          </w:p>
        </w:tc>
        <w:tc>
          <w:tcPr>
            <w:tcW w:w="360" w:type="dxa"/>
            <w:vAlign w:val="bottom"/>
            <w:gridSpan w:val="2"/>
            <w:shd w:val="clear" w:color="auto" w:fill="CCEEFF"/>
          </w:tcPr>
          <w:p>
            <w:pPr>
              <w:jc w:val="center"/>
              <w:ind w:left="62"/>
              <w:spacing w:after="0" w:line="135" w:lineRule="exact"/>
              <w:rPr>
                <w:sz w:val="20"/>
                <w:szCs w:val="20"/>
                <w:color w:val="auto"/>
              </w:rPr>
            </w:pPr>
            <w:r>
              <w:rPr>
                <w:rFonts w:ascii="Times New Roman" w:cs="Times New Roman" w:eastAsia="Times New Roman" w:hAnsi="Times New Roman"/>
                <w:sz w:val="12"/>
                <w:szCs w:val="12"/>
                <w:color w:val="auto"/>
                <w:w w:val="99"/>
              </w:rPr>
              <w:t>12</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(261,472)</w:t>
            </w:r>
          </w:p>
        </w:tc>
        <w:tc>
          <w:tcPr>
            <w:tcW w:w="9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(261,472)</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(261,472)</w:t>
            </w:r>
          </w:p>
        </w:tc>
        <w:tc>
          <w:tcPr>
            <w:tcW w:w="20" w:type="dxa"/>
            <w:vAlign w:val="bottom"/>
          </w:tcPr>
          <w:p>
            <w:pPr>
              <w:spacing w:after="0"/>
              <w:rPr>
                <w:sz w:val="11"/>
                <w:szCs w:val="11"/>
                <w:color w:val="auto"/>
              </w:rPr>
            </w:pPr>
          </w:p>
        </w:tc>
      </w:tr>
      <w:tr>
        <w:trPr>
          <w:trHeight w:val="135"/>
        </w:trPr>
        <w:tc>
          <w:tcPr>
            <w:tcW w:w="304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Share-based compensation</w:t>
            </w:r>
          </w:p>
        </w:tc>
        <w:tc>
          <w:tcPr>
            <w:tcW w:w="360" w:type="dxa"/>
            <w:vAlign w:val="bottom"/>
            <w:gridSpan w:val="2"/>
          </w:tcPr>
          <w:p>
            <w:pPr>
              <w:jc w:val="center"/>
              <w:ind w:left="62"/>
              <w:spacing w:after="0" w:line="135" w:lineRule="exact"/>
              <w:rPr>
                <w:sz w:val="20"/>
                <w:szCs w:val="20"/>
                <w:color w:val="auto"/>
              </w:rPr>
            </w:pPr>
            <w:r>
              <w:rPr>
                <w:rFonts w:ascii="Times New Roman" w:cs="Times New Roman" w:eastAsia="Times New Roman" w:hAnsi="Times New Roman"/>
                <w:sz w:val="12"/>
                <w:szCs w:val="12"/>
                <w:color w:val="auto"/>
                <w:w w:val="99"/>
              </w:rPr>
              <w:t>13</w:t>
            </w:r>
          </w:p>
        </w:tc>
        <w:tc>
          <w:tcPr>
            <w:tcW w:w="12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w:t>
            </w: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127,002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127,003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127,003</w:t>
            </w:r>
          </w:p>
        </w:tc>
        <w:tc>
          <w:tcPr>
            <w:tcW w:w="20" w:type="dxa"/>
            <w:vAlign w:val="bottom"/>
          </w:tcPr>
          <w:p>
            <w:pPr>
              <w:spacing w:after="0"/>
              <w:rPr>
                <w:sz w:val="11"/>
                <w:szCs w:val="11"/>
                <w:color w:val="auto"/>
              </w:rPr>
            </w:pPr>
          </w:p>
        </w:tc>
      </w:tr>
      <w:tr>
        <w:trPr>
          <w:trHeight w:val="135"/>
        </w:trPr>
        <w:tc>
          <w:tcPr>
            <w:tcW w:w="30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Other comprehensive income</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5,808</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5,808</w:t>
            </w: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7,329</w:t>
            </w: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13,137</w:t>
            </w:r>
          </w:p>
        </w:tc>
        <w:tc>
          <w:tcPr>
            <w:tcW w:w="20" w:type="dxa"/>
            <w:vAlign w:val="bottom"/>
          </w:tcPr>
          <w:p>
            <w:pPr>
              <w:spacing w:after="0"/>
              <w:rPr>
                <w:sz w:val="11"/>
                <w:szCs w:val="11"/>
                <w:color w:val="auto"/>
              </w:rPr>
            </w:pPr>
          </w:p>
        </w:tc>
      </w:tr>
      <w:tr>
        <w:trPr>
          <w:trHeight w:val="135"/>
        </w:trPr>
        <w:tc>
          <w:tcPr>
            <w:tcW w:w="304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Provision of special reserve (note b)</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72</w:t>
            </w:r>
          </w:p>
        </w:tc>
        <w:tc>
          <w:tcPr>
            <w:tcW w:w="14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(72)</w:t>
            </w:r>
          </w:p>
        </w:tc>
        <w:tc>
          <w:tcPr>
            <w:tcW w:w="10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r>
      <w:tr>
        <w:trPr>
          <w:trHeight w:val="135"/>
        </w:trPr>
        <w:tc>
          <w:tcPr>
            <w:tcW w:w="30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Net loss</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(274,121)</w:t>
            </w:r>
          </w:p>
        </w:tc>
        <w:tc>
          <w:tcPr>
            <w:tcW w:w="9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(274,121)</w:t>
            </w:r>
          </w:p>
        </w:tc>
        <w:tc>
          <w:tcPr>
            <w:tcW w:w="70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(885)</w:t>
            </w:r>
          </w:p>
        </w:tc>
        <w:tc>
          <w:tcPr>
            <w:tcW w:w="6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(275,006)</w:t>
            </w:r>
          </w:p>
        </w:tc>
        <w:tc>
          <w:tcPr>
            <w:tcW w:w="20" w:type="dxa"/>
            <w:vAlign w:val="bottom"/>
          </w:tcPr>
          <w:p>
            <w:pPr>
              <w:spacing w:after="0"/>
              <w:rPr>
                <w:sz w:val="11"/>
                <w:szCs w:val="11"/>
                <w:color w:val="auto"/>
              </w:rPr>
            </w:pPr>
          </w:p>
        </w:tc>
      </w:tr>
      <w:tr>
        <w:trPr>
          <w:trHeight w:val="128"/>
        </w:trPr>
        <w:tc>
          <w:tcPr>
            <w:tcW w:w="304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Balances as of December 31, 2024</w:t>
            </w: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w w:val="99"/>
              </w:rPr>
              <w:t>350,292,553</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175</w:t>
            </w:r>
          </w:p>
        </w:tc>
        <w:tc>
          <w:tcPr>
            <w:tcW w:w="120" w:type="dxa"/>
            <w:vAlign w:val="bottom"/>
            <w:tcBorders>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w w:val="99"/>
              </w:rPr>
              <w:t>2,228,444</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220</w:t>
            </w:r>
          </w:p>
        </w:tc>
        <w:tc>
          <w:tcPr>
            <w:tcW w:w="14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10,134</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(1,287,851)</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951,122</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17,589</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968,711</w:t>
            </w:r>
          </w:p>
        </w:tc>
        <w:tc>
          <w:tcPr>
            <w:tcW w:w="20" w:type="dxa"/>
            <w:vAlign w:val="bottom"/>
          </w:tcPr>
          <w:p>
            <w:pPr>
              <w:spacing w:after="0"/>
              <w:rPr>
                <w:sz w:val="11"/>
                <w:szCs w:val="11"/>
                <w:color w:val="auto"/>
              </w:rPr>
            </w:pPr>
          </w:p>
        </w:tc>
      </w:tr>
      <w:tr>
        <w:trPr>
          <w:trHeight w:val="107"/>
        </w:trPr>
        <w:tc>
          <w:tcPr>
            <w:tcW w:w="3040" w:type="dxa"/>
            <w:vAlign w:val="bottom"/>
            <w:gridSpan w:val="2"/>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w w:val="99"/>
              </w:rPr>
              <w:t>Issuance of Class A ordinary shares upon the completion of the</w:t>
            </w: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35"/>
        </w:trPr>
        <w:tc>
          <w:tcPr>
            <w:tcW w:w="3040" w:type="dxa"/>
            <w:vAlign w:val="bottom"/>
            <w:gridSpan w:val="2"/>
            <w:shd w:val="clear" w:color="auto" w:fill="CCEEFF"/>
          </w:tcPr>
          <w:p>
            <w:pPr>
              <w:ind w:left="140"/>
              <w:spacing w:after="0" w:line="135" w:lineRule="exact"/>
              <w:rPr>
                <w:sz w:val="20"/>
                <w:szCs w:val="20"/>
                <w:color w:val="auto"/>
              </w:rPr>
            </w:pPr>
            <w:r>
              <w:rPr>
                <w:rFonts w:ascii="Times New Roman" w:cs="Times New Roman" w:eastAsia="Times New Roman" w:hAnsi="Times New Roman"/>
                <w:sz w:val="12"/>
                <w:szCs w:val="12"/>
                <w:color w:val="auto"/>
              </w:rPr>
              <w:t>dual primary listing in the Stock Exchange of Hong Kong</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3"/>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Limited (“Dual Primary Listing”), net of issuance cost</w:t>
            </w:r>
          </w:p>
        </w:tc>
        <w:tc>
          <w:tcPr>
            <w:tcW w:w="360" w:type="dxa"/>
            <w:vAlign w:val="bottom"/>
            <w:gridSpan w:val="2"/>
            <w:shd w:val="clear" w:color="auto" w:fill="CCEEFF"/>
          </w:tcPr>
          <w:p>
            <w:pPr>
              <w:jc w:val="center"/>
              <w:ind w:left="62"/>
              <w:spacing w:after="0"/>
              <w:rPr>
                <w:sz w:val="20"/>
                <w:szCs w:val="20"/>
                <w:color w:val="auto"/>
              </w:rPr>
            </w:pPr>
            <w:r>
              <w:rPr>
                <w:rFonts w:ascii="Times New Roman" w:cs="Times New Roman" w:eastAsia="Times New Roman" w:hAnsi="Times New Roman"/>
                <w:sz w:val="12"/>
                <w:szCs w:val="12"/>
                <w:color w:val="auto"/>
                <w:w w:val="99"/>
              </w:rPr>
              <w:t>11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48,249,000</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829,327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829,351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829,351</w:t>
            </w:r>
          </w:p>
        </w:tc>
        <w:tc>
          <w:tcPr>
            <w:tcW w:w="20" w:type="dxa"/>
            <w:vAlign w:val="bottom"/>
          </w:tcPr>
          <w:p>
            <w:pPr>
              <w:spacing w:after="0"/>
              <w:rPr>
                <w:sz w:val="12"/>
                <w:szCs w:val="12"/>
                <w:color w:val="auto"/>
              </w:rPr>
            </w:pPr>
          </w:p>
        </w:tc>
      </w:tr>
      <w:tr>
        <w:trPr>
          <w:trHeight w:val="127"/>
        </w:trPr>
        <w:tc>
          <w:tcPr>
            <w:tcW w:w="3040" w:type="dxa"/>
            <w:vAlign w:val="bottom"/>
            <w:gridSpan w:val="2"/>
          </w:tcPr>
          <w:p>
            <w:pPr>
              <w:spacing w:after="0" w:line="127" w:lineRule="exact"/>
              <w:rPr>
                <w:sz w:val="20"/>
                <w:szCs w:val="20"/>
                <w:color w:val="auto"/>
              </w:rPr>
            </w:pPr>
            <w:r>
              <w:rPr>
                <w:rFonts w:ascii="Times New Roman" w:cs="Times New Roman" w:eastAsia="Times New Roman" w:hAnsi="Times New Roman"/>
                <w:sz w:val="12"/>
                <w:szCs w:val="12"/>
                <w:color w:val="auto"/>
              </w:rPr>
              <w:t>Issuance of Class A ordinary shares upon exercising of share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3"/>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options and vesting of RSUs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35,000,000</w:t>
            </w:r>
          </w:p>
        </w:tc>
        <w:tc>
          <w:tcPr>
            <w:tcW w:w="4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2,628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2,646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2,646</w:t>
            </w:r>
          </w:p>
        </w:tc>
        <w:tc>
          <w:tcPr>
            <w:tcW w:w="20" w:type="dxa"/>
            <w:vAlign w:val="bottom"/>
          </w:tcPr>
          <w:p>
            <w:pPr>
              <w:spacing w:after="0"/>
              <w:rPr>
                <w:sz w:val="12"/>
                <w:szCs w:val="12"/>
                <w:color w:val="auto"/>
              </w:rPr>
            </w:pPr>
          </w:p>
        </w:tc>
      </w:tr>
      <w:tr>
        <w:trPr>
          <w:trHeight w:val="135"/>
        </w:trPr>
        <w:tc>
          <w:tcPr>
            <w:tcW w:w="30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Repurchase/Settlement of RSUs</w:t>
            </w:r>
          </w:p>
        </w:tc>
        <w:tc>
          <w:tcPr>
            <w:tcW w:w="360" w:type="dxa"/>
            <w:vAlign w:val="bottom"/>
            <w:gridSpan w:val="2"/>
            <w:shd w:val="clear" w:color="auto" w:fill="CCEEFF"/>
          </w:tcPr>
          <w:p>
            <w:pPr>
              <w:jc w:val="center"/>
              <w:ind w:left="62"/>
              <w:spacing w:after="0" w:line="135" w:lineRule="exact"/>
              <w:rPr>
                <w:sz w:val="20"/>
                <w:szCs w:val="20"/>
                <w:color w:val="auto"/>
              </w:rPr>
            </w:pPr>
            <w:r>
              <w:rPr>
                <w:rFonts w:ascii="Times New Roman" w:cs="Times New Roman" w:eastAsia="Times New Roman" w:hAnsi="Times New Roman"/>
                <w:sz w:val="12"/>
                <w:szCs w:val="12"/>
                <w:color w:val="auto"/>
                <w:w w:val="99"/>
              </w:rPr>
              <w:t>13</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(12,638)</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(12,638)</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(12,638)</w:t>
            </w:r>
          </w:p>
        </w:tc>
        <w:tc>
          <w:tcPr>
            <w:tcW w:w="20" w:type="dxa"/>
            <w:vAlign w:val="bottom"/>
          </w:tcPr>
          <w:p>
            <w:pPr>
              <w:spacing w:after="0"/>
              <w:rPr>
                <w:sz w:val="11"/>
                <w:szCs w:val="11"/>
                <w:color w:val="auto"/>
              </w:rPr>
            </w:pPr>
          </w:p>
        </w:tc>
      </w:tr>
      <w:tr>
        <w:trPr>
          <w:trHeight w:val="135"/>
        </w:trPr>
        <w:tc>
          <w:tcPr>
            <w:tcW w:w="304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Share-based compensation</w:t>
            </w:r>
          </w:p>
        </w:tc>
        <w:tc>
          <w:tcPr>
            <w:tcW w:w="360" w:type="dxa"/>
            <w:vAlign w:val="bottom"/>
            <w:gridSpan w:val="2"/>
          </w:tcPr>
          <w:p>
            <w:pPr>
              <w:jc w:val="center"/>
              <w:ind w:left="62"/>
              <w:spacing w:after="0" w:line="135" w:lineRule="exact"/>
              <w:rPr>
                <w:sz w:val="20"/>
                <w:szCs w:val="20"/>
                <w:color w:val="auto"/>
              </w:rPr>
            </w:pPr>
            <w:r>
              <w:rPr>
                <w:rFonts w:ascii="Times New Roman" w:cs="Times New Roman" w:eastAsia="Times New Roman" w:hAnsi="Times New Roman"/>
                <w:sz w:val="12"/>
                <w:szCs w:val="12"/>
                <w:color w:val="auto"/>
                <w:w w:val="99"/>
              </w:rPr>
              <w:t>13</w:t>
            </w:r>
          </w:p>
        </w:tc>
        <w:tc>
          <w:tcPr>
            <w:tcW w:w="12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30,798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30,798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30,798</w:t>
            </w:r>
          </w:p>
        </w:tc>
        <w:tc>
          <w:tcPr>
            <w:tcW w:w="20" w:type="dxa"/>
            <w:vAlign w:val="bottom"/>
          </w:tcPr>
          <w:p>
            <w:pPr>
              <w:spacing w:after="0"/>
              <w:rPr>
                <w:sz w:val="11"/>
                <w:szCs w:val="11"/>
                <w:color w:val="auto"/>
              </w:rPr>
            </w:pPr>
          </w:p>
        </w:tc>
      </w:tr>
      <w:tr>
        <w:trPr>
          <w:trHeight w:val="135"/>
        </w:trPr>
        <w:tc>
          <w:tcPr>
            <w:tcW w:w="30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Other comprehensive loss</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(15,033)</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(15,033)</w:t>
            </w:r>
          </w:p>
        </w:tc>
        <w:tc>
          <w:tcPr>
            <w:tcW w:w="70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(11,643)</w:t>
            </w:r>
          </w:p>
        </w:tc>
        <w:tc>
          <w:tcPr>
            <w:tcW w:w="6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(26,676)</w:t>
            </w:r>
          </w:p>
        </w:tc>
        <w:tc>
          <w:tcPr>
            <w:tcW w:w="20" w:type="dxa"/>
            <w:vAlign w:val="bottom"/>
          </w:tcPr>
          <w:p>
            <w:pPr>
              <w:spacing w:after="0"/>
              <w:rPr>
                <w:sz w:val="11"/>
                <w:szCs w:val="11"/>
                <w:color w:val="auto"/>
              </w:rPr>
            </w:pPr>
          </w:p>
        </w:tc>
      </w:tr>
      <w:tr>
        <w:trPr>
          <w:trHeight w:val="135"/>
        </w:trPr>
        <w:tc>
          <w:tcPr>
            <w:tcW w:w="304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Provision of special reserve (note b)</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135</w:t>
            </w:r>
          </w:p>
        </w:tc>
        <w:tc>
          <w:tcPr>
            <w:tcW w:w="14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(135)</w:t>
            </w:r>
          </w:p>
        </w:tc>
        <w:tc>
          <w:tcPr>
            <w:tcW w:w="10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r>
      <w:tr>
        <w:trPr>
          <w:trHeight w:val="135"/>
        </w:trPr>
        <w:tc>
          <w:tcPr>
            <w:tcW w:w="30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w w:val="99"/>
              </w:rPr>
              <w:t>Dividends distribution to a non-controlling shareholder (note c)</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(6,435)</w:t>
            </w:r>
          </w:p>
        </w:tc>
        <w:tc>
          <w:tcPr>
            <w:tcW w:w="6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(6,435)</w:t>
            </w:r>
          </w:p>
        </w:tc>
        <w:tc>
          <w:tcPr>
            <w:tcW w:w="20" w:type="dxa"/>
            <w:vAlign w:val="bottom"/>
          </w:tcPr>
          <w:p>
            <w:pPr>
              <w:spacing w:after="0"/>
              <w:rPr>
                <w:sz w:val="11"/>
                <w:szCs w:val="11"/>
                <w:color w:val="auto"/>
              </w:rPr>
            </w:pPr>
          </w:p>
        </w:tc>
      </w:tr>
      <w:tr>
        <w:trPr>
          <w:trHeight w:val="135"/>
        </w:trPr>
        <w:tc>
          <w:tcPr>
            <w:tcW w:w="304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Net (loss) income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2"/>
                <w:szCs w:val="12"/>
                <w:color w:val="auto"/>
              </w:rPr>
              <w:t>(133,969)</w:t>
            </w:r>
          </w:p>
        </w:tc>
        <w:tc>
          <w:tcPr>
            <w:tcW w:w="92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2"/>
                <w:szCs w:val="12"/>
                <w:color w:val="auto"/>
              </w:rPr>
              <w:t>(133,969)</w:t>
            </w: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57,211</w:t>
            </w:r>
          </w:p>
        </w:tc>
        <w:tc>
          <w:tcPr>
            <w:tcW w:w="4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(76,758)</w:t>
            </w:r>
          </w:p>
        </w:tc>
        <w:tc>
          <w:tcPr>
            <w:tcW w:w="20" w:type="dxa"/>
            <w:vAlign w:val="bottom"/>
          </w:tcPr>
          <w:p>
            <w:pPr>
              <w:spacing w:after="0"/>
              <w:rPr>
                <w:sz w:val="11"/>
                <w:szCs w:val="11"/>
                <w:color w:val="auto"/>
              </w:rPr>
            </w:pPr>
          </w:p>
        </w:tc>
      </w:tr>
      <w:tr>
        <w:trPr>
          <w:trHeight w:val="128"/>
        </w:trPr>
        <w:tc>
          <w:tcPr>
            <w:tcW w:w="3040" w:type="dxa"/>
            <w:vAlign w:val="bottom"/>
            <w:tcBorders>
              <w:top w:val="single" w:sz="8" w:color="CCEEFF"/>
              <w:bottom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Balances as of December 31, 2025</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w w:val="99"/>
              </w:rPr>
              <w:t>433,541,553</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217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w w:val="99"/>
              </w:rPr>
              <w:t>3,078,559</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355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(4,899)</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(1,421,955)</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1,652,277</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56,722</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1,708,999</w:t>
            </w:r>
          </w:p>
        </w:tc>
        <w:tc>
          <w:tcPr>
            <w:tcW w:w="20" w:type="dxa"/>
            <w:vAlign w:val="bottom"/>
          </w:tcPr>
          <w:p>
            <w:pPr>
              <w:spacing w:after="0"/>
              <w:rPr>
                <w:sz w:val="11"/>
                <w:szCs w:val="11"/>
                <w:color w:val="auto"/>
              </w:rPr>
            </w:pPr>
          </w:p>
        </w:tc>
      </w:tr>
      <w:tr>
        <w:trPr>
          <w:trHeight w:val="20"/>
        </w:trPr>
        <w:tc>
          <w:tcPr>
            <w:tcW w:w="2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7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4"/>
          <w:szCs w:val="14"/>
          <w:color w:val="auto"/>
        </w:rPr>
        <w:t>Note a:</w:t>
      </w:r>
      <w:r>
        <w:rPr>
          <w:sz w:val="20"/>
          <w:szCs w:val="20"/>
          <w:color w:val="auto"/>
        </w:rPr>
        <w:tab/>
      </w:r>
      <w:r>
        <w:rPr>
          <w:rFonts w:ascii="Times New Roman" w:cs="Times New Roman" w:eastAsia="Times New Roman" w:hAnsi="Times New Roman"/>
          <w:sz w:val="14"/>
          <w:szCs w:val="14"/>
          <w:color w:val="auto"/>
        </w:rPr>
        <w:t>On May 31, 2023, the Group repurchased 85,873 ordinary shares in aggregate, from two shareholders at total consideration of $994. Such shares were cancelled immediately upon repurchase.</w:t>
      </w:r>
    </w:p>
    <w:p>
      <w:pPr>
        <w:spacing w:after="0" w:line="12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4"/>
          <w:szCs w:val="14"/>
          <w:color w:val="auto"/>
        </w:rPr>
        <w:t>Note b:</w:t>
        <w:tab/>
        <w:t>The Group is required by law to appropriate a special reserve within equity, namely “Safety Production Fund” which is calculated based on 1% of freight transportation revenues.</w:t>
      </w:r>
    </w:p>
    <w:p>
      <w:pPr>
        <w:spacing w:after="0" w:line="12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4"/>
          <w:szCs w:val="14"/>
          <w:color w:val="auto"/>
        </w:rPr>
        <w:t>Note c:</w:t>
      </w:r>
      <w:r>
        <w:rPr>
          <w:sz w:val="20"/>
          <w:szCs w:val="20"/>
          <w:color w:val="auto"/>
        </w:rPr>
        <w:tab/>
      </w:r>
      <w:r>
        <w:rPr>
          <w:rFonts w:ascii="Times New Roman" w:cs="Times New Roman" w:eastAsia="Times New Roman" w:hAnsi="Times New Roman"/>
          <w:sz w:val="14"/>
          <w:szCs w:val="14"/>
          <w:color w:val="auto"/>
        </w:rPr>
        <w:t>During the year ended December 31,2025, Yancheng Poplar LLP, a non-wholly-owned subsidiary of the Group, distributed profits resulting from investment gains arising from the disposal of equity investments to a non-controlling shareholder.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PONY AI INC.</w:t>
      </w:r>
    </w:p>
    <w:p>
      <w:pPr>
        <w:spacing w:after="0" w:line="3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(All amounts in USD thousands, except share, per share and per ADS data)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231F20"/>
              </w:rPr>
              <w:t>Year ended December 31</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Note</w:t>
            </w:r>
          </w:p>
        </w:tc>
        <w:tc>
          <w:tcPr>
            <w:tcW w:w="2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56"/>
        </w:trPr>
        <w:tc>
          <w:tcPr>
            <w:tcW w:w="57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80" w:type="dxa"/>
            <w:vAlign w:val="bottom"/>
            <w:gridSpan w:val="4"/>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(125,328)</w:t>
            </w:r>
          </w:p>
        </w:tc>
        <w:tc>
          <w:tcPr>
            <w:tcW w:w="10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(275,006)</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(76,758)</w:t>
            </w:r>
          </w:p>
        </w:tc>
        <w:tc>
          <w:tcPr>
            <w:tcW w:w="0" w:type="dxa"/>
            <w:vAlign w:val="bottom"/>
          </w:tcPr>
          <w:p>
            <w:pPr>
              <w:spacing w:after="0"/>
              <w:rPr>
                <w:sz w:val="1"/>
                <w:szCs w:val="1"/>
                <w:color w:val="auto"/>
              </w:rPr>
            </w:pPr>
          </w:p>
        </w:tc>
      </w:tr>
      <w:tr>
        <w:trPr>
          <w:trHeight w:val="148"/>
        </w:trPr>
        <w:tc>
          <w:tcPr>
            <w:tcW w:w="5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gridSpan w:val="2"/>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w w:val="85"/>
              </w:rPr>
              <w:t>7</w:t>
            </w:r>
          </w:p>
        </w:tc>
        <w:tc>
          <w:tcPr>
            <w:tcW w:w="11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14,342</w:t>
            </w: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8,361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6,220</w:t>
            </w:r>
          </w:p>
        </w:tc>
        <w:tc>
          <w:tcPr>
            <w:tcW w:w="0" w:type="dxa"/>
            <w:vAlign w:val="bottom"/>
          </w:tcPr>
          <w:p>
            <w:pPr>
              <w:spacing w:after="0"/>
              <w:rPr>
                <w:sz w:val="1"/>
                <w:szCs w:val="1"/>
                <w:color w:val="auto"/>
              </w:rPr>
            </w:pPr>
          </w:p>
        </w:tc>
      </w:tr>
      <w:tr>
        <w:trPr>
          <w:trHeight w:val="149"/>
        </w:trPr>
        <w:tc>
          <w:tcPr>
            <w:tcW w:w="57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960" w:type="dxa"/>
            <w:vAlign w:val="bottom"/>
            <w:gridSpan w:val="2"/>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w w:val="99"/>
              </w:rPr>
              <w:t>13</w:t>
            </w:r>
          </w:p>
        </w:tc>
        <w:tc>
          <w:tcPr>
            <w:tcW w:w="11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3,254</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127,003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30,798</w:t>
            </w:r>
          </w:p>
        </w:tc>
        <w:tc>
          <w:tcPr>
            <w:tcW w:w="0" w:type="dxa"/>
            <w:vAlign w:val="bottom"/>
          </w:tcPr>
          <w:p>
            <w:pPr>
              <w:spacing w:after="0"/>
              <w:rPr>
                <w:sz w:val="1"/>
                <w:szCs w:val="1"/>
                <w:color w:val="auto"/>
              </w:rPr>
            </w:pPr>
          </w:p>
        </w:tc>
      </w:tr>
      <w:tr>
        <w:trPr>
          <w:trHeight w:val="148"/>
        </w:trPr>
        <w:tc>
          <w:tcPr>
            <w:tcW w:w="57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Losses (gains) from disposal of property and equipment</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1,124</w:t>
            </w:r>
          </w:p>
        </w:tc>
        <w:tc>
          <w:tcPr>
            <w:tcW w:w="240" w:type="dxa"/>
            <w:vAlign w:val="bottom"/>
          </w:tcPr>
          <w:p>
            <w:pPr>
              <w:spacing w:after="0"/>
              <w:rPr>
                <w:sz w:val="12"/>
                <w:szCs w:val="12"/>
                <w:color w:val="auto"/>
              </w:rPr>
            </w:pPr>
          </w:p>
        </w:tc>
        <w:tc>
          <w:tcPr>
            <w:tcW w:w="10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8"/>
        </w:trPr>
        <w:tc>
          <w:tcPr>
            <w:tcW w:w="57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Realized gains from investments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80" w:type="dxa"/>
            <w:vAlign w:val="bottom"/>
            <w:gridSpan w:val="4"/>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(2,993)</w:t>
            </w:r>
          </w:p>
        </w:tc>
        <w:tc>
          <w:tcPr>
            <w:tcW w:w="10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(5,697)</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(20,313)</w:t>
            </w:r>
          </w:p>
        </w:tc>
        <w:tc>
          <w:tcPr>
            <w:tcW w:w="0" w:type="dxa"/>
            <w:vAlign w:val="bottom"/>
          </w:tcPr>
          <w:p>
            <w:pPr>
              <w:spacing w:after="0"/>
              <w:rPr>
                <w:sz w:val="1"/>
                <w:szCs w:val="1"/>
                <w:color w:val="auto"/>
              </w:rPr>
            </w:pPr>
          </w:p>
        </w:tc>
      </w:tr>
      <w:tr>
        <w:trPr>
          <w:trHeight w:val="148"/>
        </w:trPr>
        <w:tc>
          <w:tcPr>
            <w:tcW w:w="57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income tax</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92"/>
              </w:rPr>
              <w:t>(120)</w:t>
            </w:r>
          </w:p>
        </w:tc>
        <w:tc>
          <w:tcPr>
            <w:tcW w:w="12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7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Changes in fair value of warrants liability</w:t>
            </w:r>
          </w:p>
        </w:tc>
        <w:tc>
          <w:tcPr>
            <w:tcW w:w="960" w:type="dxa"/>
            <w:vAlign w:val="bottom"/>
            <w:gridSpan w:val="2"/>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w w:val="85"/>
              </w:rPr>
              <w:t>6</w:t>
            </w:r>
          </w:p>
        </w:tc>
        <w:tc>
          <w:tcPr>
            <w:tcW w:w="11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3,030</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(5,617)</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7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Changes in fair value of trading securities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4,727</w:t>
            </w: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21,285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(128,031)</w:t>
            </w:r>
          </w:p>
        </w:tc>
        <w:tc>
          <w:tcPr>
            <w:tcW w:w="0" w:type="dxa"/>
            <w:vAlign w:val="bottom"/>
          </w:tcPr>
          <w:p>
            <w:pPr>
              <w:spacing w:after="0"/>
              <w:rPr>
                <w:sz w:val="1"/>
                <w:szCs w:val="1"/>
                <w:color w:val="auto"/>
              </w:rPr>
            </w:pPr>
          </w:p>
        </w:tc>
      </w:tr>
      <w:tr>
        <w:trPr>
          <w:trHeight w:val="149"/>
        </w:trPr>
        <w:tc>
          <w:tcPr>
            <w:tcW w:w="57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Unrealized foreign exchange losses (gains)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681</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(3,750)</w:t>
            </w:r>
          </w:p>
        </w:tc>
        <w:tc>
          <w:tcPr>
            <w:tcW w:w="0" w:type="dxa"/>
            <w:vAlign w:val="bottom"/>
          </w:tcPr>
          <w:p>
            <w:pPr>
              <w:spacing w:after="0"/>
              <w:rPr>
                <w:sz w:val="1"/>
                <w:szCs w:val="1"/>
                <w:color w:val="auto"/>
              </w:rPr>
            </w:pPr>
          </w:p>
        </w:tc>
      </w:tr>
      <w:tr>
        <w:trPr>
          <w:trHeight w:val="148"/>
        </w:trPr>
        <w:tc>
          <w:tcPr>
            <w:tcW w:w="57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Non-cash lease expenses</w:t>
            </w:r>
          </w:p>
        </w:tc>
        <w:tc>
          <w:tcPr>
            <w:tcW w:w="960" w:type="dxa"/>
            <w:vAlign w:val="bottom"/>
            <w:gridSpan w:val="2"/>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w w:val="85"/>
              </w:rPr>
              <w:t>9</w:t>
            </w:r>
          </w:p>
        </w:tc>
        <w:tc>
          <w:tcPr>
            <w:tcW w:w="11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5,515</w:t>
            </w: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6,238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6,456</w:t>
            </w:r>
          </w:p>
        </w:tc>
        <w:tc>
          <w:tcPr>
            <w:tcW w:w="0" w:type="dxa"/>
            <w:vAlign w:val="bottom"/>
          </w:tcPr>
          <w:p>
            <w:pPr>
              <w:spacing w:after="0"/>
              <w:rPr>
                <w:sz w:val="1"/>
                <w:szCs w:val="1"/>
                <w:color w:val="auto"/>
              </w:rPr>
            </w:pPr>
          </w:p>
        </w:tc>
      </w:tr>
      <w:tr>
        <w:trPr>
          <w:trHeight w:val="148"/>
        </w:trPr>
        <w:tc>
          <w:tcPr>
            <w:tcW w:w="5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80" w:type="dxa"/>
            <w:vAlign w:val="bottom"/>
            <w:gridSpan w:val="4"/>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(16,367)</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4,014</w:t>
            </w:r>
          </w:p>
        </w:tc>
        <w:tc>
          <w:tcPr>
            <w:tcW w:w="0" w:type="dxa"/>
            <w:vAlign w:val="bottom"/>
          </w:tcPr>
          <w:p>
            <w:pPr>
              <w:spacing w:after="0"/>
              <w:rPr>
                <w:sz w:val="1"/>
                <w:szCs w:val="1"/>
                <w:color w:val="auto"/>
              </w:rPr>
            </w:pPr>
          </w:p>
        </w:tc>
      </w:tr>
      <w:tr>
        <w:trPr>
          <w:trHeight w:val="148"/>
        </w:trPr>
        <w:tc>
          <w:tcPr>
            <w:tcW w:w="57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Amounts due from related parties</w:t>
            </w:r>
          </w:p>
        </w:tc>
        <w:tc>
          <w:tcPr>
            <w:tcW w:w="960" w:type="dxa"/>
            <w:vAlign w:val="bottom"/>
            <w:gridSpan w:val="2"/>
            <w:shd w:val="clear" w:color="auto" w:fill="CCEEFF"/>
          </w:tcPr>
          <w:p>
            <w:pPr>
              <w:jc w:val="center"/>
              <w:ind w:left="148"/>
              <w:spacing w:after="0" w:line="149" w:lineRule="exact"/>
              <w:rPr>
                <w:sz w:val="20"/>
                <w:szCs w:val="20"/>
                <w:color w:val="auto"/>
              </w:rPr>
            </w:pPr>
            <w:r>
              <w:rPr>
                <w:rFonts w:ascii="Times New Roman" w:cs="Times New Roman" w:eastAsia="Times New Roman" w:hAnsi="Times New Roman"/>
                <w:sz w:val="14"/>
                <w:szCs w:val="14"/>
                <w:color w:val="auto"/>
                <w:w w:val="99"/>
              </w:rPr>
              <w:t>15</w:t>
            </w:r>
          </w:p>
        </w:tc>
        <w:tc>
          <w:tcPr>
            <w:tcW w:w="11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5,625</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(2,672)</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(3,016)</w:t>
            </w:r>
          </w:p>
        </w:tc>
        <w:tc>
          <w:tcPr>
            <w:tcW w:w="0" w:type="dxa"/>
            <w:vAlign w:val="bottom"/>
          </w:tcPr>
          <w:p>
            <w:pPr>
              <w:spacing w:after="0"/>
              <w:rPr>
                <w:sz w:val="1"/>
                <w:szCs w:val="1"/>
                <w:color w:val="auto"/>
              </w:rPr>
            </w:pPr>
          </w:p>
        </w:tc>
      </w:tr>
      <w:tr>
        <w:trPr>
          <w:trHeight w:val="149"/>
        </w:trPr>
        <w:tc>
          <w:tcPr>
            <w:tcW w:w="57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80" w:type="dxa"/>
            <w:vAlign w:val="bottom"/>
            <w:gridSpan w:val="4"/>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(5,027)</w:t>
            </w:r>
          </w:p>
        </w:tc>
        <w:tc>
          <w:tcPr>
            <w:tcW w:w="10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(9,857)</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11,068</w:t>
            </w:r>
          </w:p>
        </w:tc>
        <w:tc>
          <w:tcPr>
            <w:tcW w:w="0" w:type="dxa"/>
            <w:vAlign w:val="bottom"/>
          </w:tcPr>
          <w:p>
            <w:pPr>
              <w:spacing w:after="0"/>
              <w:rPr>
                <w:sz w:val="1"/>
                <w:szCs w:val="1"/>
                <w:color w:val="auto"/>
              </w:rPr>
            </w:pPr>
          </w:p>
        </w:tc>
      </w:tr>
      <w:tr>
        <w:trPr>
          <w:trHeight w:val="148"/>
        </w:trPr>
        <w:tc>
          <w:tcPr>
            <w:tcW w:w="57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302</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3,739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(1,793)</w:t>
            </w:r>
          </w:p>
        </w:tc>
        <w:tc>
          <w:tcPr>
            <w:tcW w:w="0" w:type="dxa"/>
            <w:vAlign w:val="bottom"/>
          </w:tcPr>
          <w:p>
            <w:pPr>
              <w:spacing w:after="0"/>
              <w:rPr>
                <w:sz w:val="1"/>
                <w:szCs w:val="1"/>
                <w:color w:val="auto"/>
              </w:rPr>
            </w:pPr>
          </w:p>
        </w:tc>
      </w:tr>
      <w:tr>
        <w:trPr>
          <w:trHeight w:val="148"/>
        </w:trPr>
        <w:tc>
          <w:tcPr>
            <w:tcW w:w="57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payable and other current liabilities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80" w:type="dxa"/>
            <w:vAlign w:val="bottom"/>
            <w:gridSpan w:val="4"/>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(1,149)</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23,220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14,162</w:t>
            </w:r>
          </w:p>
        </w:tc>
        <w:tc>
          <w:tcPr>
            <w:tcW w:w="0" w:type="dxa"/>
            <w:vAlign w:val="bottom"/>
          </w:tcPr>
          <w:p>
            <w:pPr>
              <w:spacing w:after="0"/>
              <w:rPr>
                <w:sz w:val="1"/>
                <w:szCs w:val="1"/>
                <w:color w:val="auto"/>
              </w:rPr>
            </w:pPr>
          </w:p>
        </w:tc>
      </w:tr>
      <w:tr>
        <w:trPr>
          <w:trHeight w:val="148"/>
        </w:trPr>
        <w:tc>
          <w:tcPr>
            <w:tcW w:w="57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Right-of-use assets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80" w:type="dxa"/>
            <w:vAlign w:val="bottom"/>
            <w:gridSpan w:val="4"/>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(3,424)</w:t>
            </w:r>
          </w:p>
        </w:tc>
        <w:tc>
          <w:tcPr>
            <w:tcW w:w="10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(11,377)</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(6,249)</w:t>
            </w:r>
          </w:p>
        </w:tc>
        <w:tc>
          <w:tcPr>
            <w:tcW w:w="0" w:type="dxa"/>
            <w:vAlign w:val="bottom"/>
          </w:tcPr>
          <w:p>
            <w:pPr>
              <w:spacing w:after="0"/>
              <w:rPr>
                <w:sz w:val="1"/>
                <w:szCs w:val="1"/>
                <w:color w:val="auto"/>
              </w:rPr>
            </w:pPr>
          </w:p>
        </w:tc>
      </w:tr>
      <w:tr>
        <w:trPr>
          <w:trHeight w:val="148"/>
        </w:trPr>
        <w:tc>
          <w:tcPr>
            <w:tcW w:w="57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Operating lease liabilities, current and non-current</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345</w:t>
            </w: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7,206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1,739</w:t>
            </w:r>
          </w:p>
        </w:tc>
        <w:tc>
          <w:tcPr>
            <w:tcW w:w="0" w:type="dxa"/>
            <w:vAlign w:val="bottom"/>
          </w:tcPr>
          <w:p>
            <w:pPr>
              <w:spacing w:after="0"/>
              <w:rPr>
                <w:sz w:val="1"/>
                <w:szCs w:val="1"/>
                <w:color w:val="auto"/>
              </w:rPr>
            </w:pPr>
          </w:p>
        </w:tc>
      </w:tr>
      <w:tr>
        <w:trPr>
          <w:trHeight w:val="149"/>
        </w:trPr>
        <w:tc>
          <w:tcPr>
            <w:tcW w:w="57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482</w:t>
            </w:r>
          </w:p>
        </w:tc>
        <w:tc>
          <w:tcPr>
            <w:tcW w:w="0" w:type="dxa"/>
            <w:vAlign w:val="bottom"/>
          </w:tcPr>
          <w:p>
            <w:pPr>
              <w:spacing w:after="0"/>
              <w:rPr>
                <w:sz w:val="1"/>
                <w:szCs w:val="1"/>
                <w:color w:val="auto"/>
              </w:rPr>
            </w:pPr>
          </w:p>
        </w:tc>
      </w:tr>
      <w:tr>
        <w:trPr>
          <w:trHeight w:val="142"/>
        </w:trPr>
        <w:tc>
          <w:tcPr>
            <w:tcW w:w="57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22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(115,421)</w:t>
            </w:r>
          </w:p>
        </w:tc>
        <w:tc>
          <w:tcPr>
            <w:tcW w:w="2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(110,758)</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(164,955)</w:t>
            </w:r>
          </w:p>
        </w:tc>
        <w:tc>
          <w:tcPr>
            <w:tcW w:w="0" w:type="dxa"/>
            <w:vAlign w:val="bottom"/>
          </w:tcPr>
          <w:p>
            <w:pPr>
              <w:spacing w:after="0"/>
              <w:rPr>
                <w:sz w:val="1"/>
                <w:szCs w:val="1"/>
                <w:color w:val="auto"/>
              </w:rPr>
            </w:pPr>
          </w:p>
        </w:tc>
      </w:tr>
      <w:tr>
        <w:trPr>
          <w:trHeight w:val="142"/>
        </w:trPr>
        <w:tc>
          <w:tcPr>
            <w:tcW w:w="57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equipment and software</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80" w:type="dxa"/>
            <w:vAlign w:val="bottom"/>
            <w:gridSpan w:val="4"/>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(5,091)</w:t>
            </w:r>
          </w:p>
        </w:tc>
        <w:tc>
          <w:tcPr>
            <w:tcW w:w="10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(11,397)</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(43,875)</w:t>
            </w:r>
          </w:p>
        </w:tc>
        <w:tc>
          <w:tcPr>
            <w:tcW w:w="0" w:type="dxa"/>
            <w:vAlign w:val="bottom"/>
          </w:tcPr>
          <w:p>
            <w:pPr>
              <w:spacing w:after="0"/>
              <w:rPr>
                <w:sz w:val="1"/>
                <w:szCs w:val="1"/>
                <w:color w:val="auto"/>
              </w:rPr>
            </w:pPr>
          </w:p>
        </w:tc>
      </w:tr>
      <w:tr>
        <w:trPr>
          <w:trHeight w:val="149"/>
        </w:trPr>
        <w:tc>
          <w:tcPr>
            <w:tcW w:w="5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short-term investments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80" w:type="dxa"/>
            <w:vAlign w:val="bottom"/>
            <w:gridSpan w:val="4"/>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(66,088)</w:t>
            </w:r>
          </w:p>
        </w:tc>
        <w:tc>
          <w:tcPr>
            <w:tcW w:w="106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(513,596)</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(816,653)</w:t>
            </w:r>
          </w:p>
        </w:tc>
        <w:tc>
          <w:tcPr>
            <w:tcW w:w="0" w:type="dxa"/>
            <w:vAlign w:val="bottom"/>
          </w:tcPr>
          <w:p>
            <w:pPr>
              <w:spacing w:after="0"/>
              <w:rPr>
                <w:sz w:val="1"/>
                <w:szCs w:val="1"/>
                <w:color w:val="auto"/>
              </w:rPr>
            </w:pPr>
          </w:p>
        </w:tc>
      </w:tr>
      <w:tr>
        <w:trPr>
          <w:trHeight w:val="148"/>
        </w:trPr>
        <w:tc>
          <w:tcPr>
            <w:tcW w:w="5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the sales and maturities of short-term investments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172,214</w:t>
            </w: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488,643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336,874</w:t>
            </w:r>
          </w:p>
        </w:tc>
        <w:tc>
          <w:tcPr>
            <w:tcW w:w="0" w:type="dxa"/>
            <w:vAlign w:val="bottom"/>
          </w:tcPr>
          <w:p>
            <w:pPr>
              <w:spacing w:after="0"/>
              <w:rPr>
                <w:sz w:val="1"/>
                <w:szCs w:val="1"/>
                <w:color w:val="auto"/>
              </w:rPr>
            </w:pPr>
          </w:p>
        </w:tc>
      </w:tr>
      <w:tr>
        <w:trPr>
          <w:trHeight w:val="162"/>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Prepayment for long-term investments</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(52,823)</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long-term investments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80" w:type="dxa"/>
            <w:vAlign w:val="bottom"/>
            <w:gridSpan w:val="4"/>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10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(113,842)</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(414,302)</w:t>
            </w:r>
          </w:p>
        </w:tc>
        <w:tc>
          <w:tcPr>
            <w:tcW w:w="0" w:type="dxa"/>
            <w:vAlign w:val="bottom"/>
          </w:tcPr>
          <w:p>
            <w:pPr>
              <w:spacing w:after="0"/>
              <w:rPr>
                <w:sz w:val="1"/>
                <w:szCs w:val="1"/>
                <w:color w:val="auto"/>
              </w:rPr>
            </w:pPr>
          </w:p>
        </w:tc>
      </w:tr>
      <w:tr>
        <w:trPr>
          <w:trHeight w:val="148"/>
        </w:trPr>
        <w:tc>
          <w:tcPr>
            <w:tcW w:w="5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the sales and maturities of long-term investments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49,590</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21,696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48,772</w:t>
            </w:r>
          </w:p>
        </w:tc>
        <w:tc>
          <w:tcPr>
            <w:tcW w:w="0" w:type="dxa"/>
            <w:vAlign w:val="bottom"/>
          </w:tcPr>
          <w:p>
            <w:pPr>
              <w:spacing w:after="0"/>
              <w:rPr>
                <w:sz w:val="1"/>
                <w:szCs w:val="1"/>
                <w:color w:val="auto"/>
              </w:rPr>
            </w:pPr>
          </w:p>
        </w:tc>
      </w:tr>
      <w:tr>
        <w:trPr>
          <w:trHeight w:val="149"/>
        </w:trPr>
        <w:tc>
          <w:tcPr>
            <w:tcW w:w="5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Loans to third parties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gridSpan w:val="2"/>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(13,512)</w:t>
            </w:r>
          </w:p>
        </w:tc>
        <w:tc>
          <w:tcPr>
            <w:tcW w:w="0" w:type="dxa"/>
            <w:vAlign w:val="bottom"/>
          </w:tcPr>
          <w:p>
            <w:pPr>
              <w:spacing w:after="0"/>
              <w:rPr>
                <w:sz w:val="1"/>
                <w:szCs w:val="1"/>
                <w:color w:val="auto"/>
              </w:rPr>
            </w:pPr>
          </w:p>
        </w:tc>
      </w:tr>
      <w:tr>
        <w:trPr>
          <w:trHeight w:val="148"/>
        </w:trPr>
        <w:tc>
          <w:tcPr>
            <w:tcW w:w="5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repayment of loans to third parties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13,532</w:t>
            </w:r>
          </w:p>
        </w:tc>
        <w:tc>
          <w:tcPr>
            <w:tcW w:w="0" w:type="dxa"/>
            <w:vAlign w:val="bottom"/>
          </w:tcPr>
          <w:p>
            <w:pPr>
              <w:spacing w:after="0"/>
              <w:rPr>
                <w:sz w:val="1"/>
                <w:szCs w:val="1"/>
                <w:color w:val="auto"/>
              </w:rPr>
            </w:pPr>
          </w:p>
        </w:tc>
      </w:tr>
      <w:tr>
        <w:trPr>
          <w:trHeight w:val="148"/>
        </w:trPr>
        <w:tc>
          <w:tcPr>
            <w:tcW w:w="57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Proceeds from disposal of property and equipment</w:t>
            </w:r>
          </w:p>
        </w:tc>
        <w:tc>
          <w:tcPr>
            <w:tcW w:w="22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869</w:t>
            </w:r>
          </w:p>
        </w:tc>
        <w:tc>
          <w:tcPr>
            <w:tcW w:w="2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2"/>
        </w:trPr>
        <w:tc>
          <w:tcPr>
            <w:tcW w:w="57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 investing activities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136,494</w:t>
            </w:r>
          </w:p>
        </w:tc>
        <w:tc>
          <w:tcPr>
            <w:tcW w:w="24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(181,267)</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(889,160)</w:t>
            </w:r>
          </w:p>
        </w:tc>
        <w:tc>
          <w:tcPr>
            <w:tcW w:w="0" w:type="dxa"/>
            <w:vAlign w:val="bottom"/>
          </w:tcPr>
          <w:p>
            <w:pPr>
              <w:spacing w:after="0"/>
              <w:rPr>
                <w:sz w:val="1"/>
                <w:szCs w:val="1"/>
                <w:color w:val="auto"/>
              </w:rPr>
            </w:pPr>
          </w:p>
        </w:tc>
      </w:tr>
      <w:tr>
        <w:trPr>
          <w:trHeight w:val="142"/>
        </w:trPr>
        <w:tc>
          <w:tcPr>
            <w:tcW w:w="57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proceeds from issuance of Series D convertible redeemable preferred shares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104,006</w:t>
            </w:r>
          </w:p>
        </w:tc>
        <w:tc>
          <w:tcPr>
            <w:tcW w:w="2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5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Proceeds from issuance of Class A ordinary shares upon the completion of the IPO and the CPP,</w:t>
            </w:r>
          </w:p>
        </w:tc>
        <w:tc>
          <w:tcPr>
            <w:tcW w:w="960" w:type="dxa"/>
            <w:vAlign w:val="bottom"/>
            <w:gridSpan w:val="2"/>
            <w:vMerge w:val="restart"/>
          </w:tcPr>
          <w:p>
            <w:pPr>
              <w:jc w:val="center"/>
              <w:ind w:left="148"/>
              <w:spacing w:after="0"/>
              <w:rPr>
                <w:sz w:val="20"/>
                <w:szCs w:val="20"/>
                <w:color w:val="auto"/>
              </w:rPr>
            </w:pPr>
            <w:r>
              <w:rPr>
                <w:rFonts w:ascii="Times New Roman" w:cs="Times New Roman" w:eastAsia="Times New Roman" w:hAnsi="Times New Roman"/>
                <w:sz w:val="14"/>
                <w:szCs w:val="14"/>
                <w:color w:val="auto"/>
                <w:w w:val="99"/>
              </w:rPr>
              <w:t>11</w:t>
            </w: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gridSpan w:val="2"/>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408,404</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of issuance cost of $9,442</w:t>
            </w:r>
          </w:p>
        </w:tc>
        <w:tc>
          <w:tcPr>
            <w:tcW w:w="9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Proceeds from issuance of Class A ordinary shares upon the completion of Dual Primary Listing,</w:t>
            </w:r>
          </w:p>
        </w:tc>
        <w:tc>
          <w:tcPr>
            <w:tcW w:w="960" w:type="dxa"/>
            <w:vAlign w:val="bottom"/>
            <w:gridSpan w:val="2"/>
            <w:vMerge w:val="restart"/>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w w:val="99"/>
              </w:rPr>
              <w:t>11</w:t>
            </w: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829,351</w:t>
            </w:r>
          </w:p>
        </w:tc>
        <w:tc>
          <w:tcPr>
            <w:tcW w:w="0" w:type="dxa"/>
            <w:vAlign w:val="bottom"/>
          </w:tcPr>
          <w:p>
            <w:pPr>
              <w:spacing w:after="0"/>
              <w:rPr>
                <w:sz w:val="1"/>
                <w:szCs w:val="1"/>
                <w:color w:val="auto"/>
              </w:rPr>
            </w:pPr>
          </w:p>
        </w:tc>
      </w:tr>
      <w:tr>
        <w:trPr>
          <w:trHeight w:val="171"/>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of issuance cost of $7,973</w:t>
            </w:r>
          </w:p>
        </w:tc>
        <w:tc>
          <w:tcPr>
            <w:tcW w:w="9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1200" w:type="dxa"/>
            <w:vAlign w:val="bottom"/>
            <w:gridSpan w:val="3"/>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for finance lease liabilities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80" w:type="dxa"/>
            <w:vAlign w:val="bottom"/>
            <w:gridSpan w:val="4"/>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(1,061)</w:t>
            </w:r>
          </w:p>
        </w:tc>
        <w:tc>
          <w:tcPr>
            <w:tcW w:w="106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(1,015)</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(971)</w:t>
            </w:r>
          </w:p>
        </w:tc>
        <w:tc>
          <w:tcPr>
            <w:tcW w:w="0" w:type="dxa"/>
            <w:vAlign w:val="bottom"/>
          </w:tcPr>
          <w:p>
            <w:pPr>
              <w:spacing w:after="0"/>
              <w:rPr>
                <w:sz w:val="1"/>
                <w:szCs w:val="1"/>
                <w:color w:val="auto"/>
              </w:rPr>
            </w:pPr>
          </w:p>
        </w:tc>
      </w:tr>
      <w:tr>
        <w:trPr>
          <w:trHeight w:val="149"/>
        </w:trPr>
        <w:tc>
          <w:tcPr>
            <w:tcW w:w="5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discounting notes receivable</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2,795</w:t>
            </w:r>
          </w:p>
        </w:tc>
        <w:tc>
          <w:tcPr>
            <w:tcW w:w="0" w:type="dxa"/>
            <w:vAlign w:val="bottom"/>
          </w:tcPr>
          <w:p>
            <w:pPr>
              <w:spacing w:after="0"/>
              <w:rPr>
                <w:sz w:val="1"/>
                <w:szCs w:val="1"/>
                <w:color w:val="auto"/>
              </w:rPr>
            </w:pPr>
          </w:p>
        </w:tc>
      </w:tr>
      <w:tr>
        <w:trPr>
          <w:trHeight w:val="148"/>
        </w:trPr>
        <w:tc>
          <w:tcPr>
            <w:tcW w:w="5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for loans in connection to warrant issuance</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80" w:type="dxa"/>
            <w:vAlign w:val="bottom"/>
            <w:gridSpan w:val="4"/>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(3,829)</w:t>
            </w:r>
          </w:p>
        </w:tc>
        <w:tc>
          <w:tcPr>
            <w:tcW w:w="12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Repurchase/Settlement of RSUs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80" w:type="dxa"/>
            <w:vAlign w:val="bottom"/>
            <w:gridSpan w:val="4"/>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(3,558)</w:t>
            </w:r>
          </w:p>
        </w:tc>
        <w:tc>
          <w:tcPr>
            <w:tcW w:w="120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(12,638)</w:t>
            </w:r>
          </w:p>
        </w:tc>
        <w:tc>
          <w:tcPr>
            <w:tcW w:w="0" w:type="dxa"/>
            <w:vAlign w:val="bottom"/>
          </w:tcPr>
          <w:p>
            <w:pPr>
              <w:spacing w:after="0"/>
              <w:rPr>
                <w:sz w:val="1"/>
                <w:szCs w:val="1"/>
                <w:color w:val="auto"/>
              </w:rPr>
            </w:pPr>
          </w:p>
        </w:tc>
      </w:tr>
      <w:tr>
        <w:trPr>
          <w:trHeight w:val="149"/>
        </w:trPr>
        <w:tc>
          <w:tcPr>
            <w:tcW w:w="5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exercise of share options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gridSpan w:val="2"/>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2,626</w:t>
            </w:r>
          </w:p>
        </w:tc>
        <w:tc>
          <w:tcPr>
            <w:tcW w:w="0" w:type="dxa"/>
            <w:vAlign w:val="bottom"/>
          </w:tcPr>
          <w:p>
            <w:pPr>
              <w:spacing w:after="0"/>
              <w:rPr>
                <w:sz w:val="1"/>
                <w:szCs w:val="1"/>
                <w:color w:val="auto"/>
              </w:rPr>
            </w:pPr>
          </w:p>
        </w:tc>
      </w:tr>
      <w:tr>
        <w:trPr>
          <w:trHeight w:val="148"/>
        </w:trPr>
        <w:tc>
          <w:tcPr>
            <w:tcW w:w="5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distribution to a non-controlling shareholder</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(6,435)</w:t>
            </w:r>
          </w:p>
        </w:tc>
        <w:tc>
          <w:tcPr>
            <w:tcW w:w="0" w:type="dxa"/>
            <w:vAlign w:val="bottom"/>
          </w:tcPr>
          <w:p>
            <w:pPr>
              <w:spacing w:after="0"/>
              <w:rPr>
                <w:sz w:val="1"/>
                <w:szCs w:val="1"/>
                <w:color w:val="auto"/>
              </w:rPr>
            </w:pPr>
          </w:p>
        </w:tc>
      </w:tr>
      <w:tr>
        <w:trPr>
          <w:trHeight w:val="148"/>
        </w:trPr>
        <w:tc>
          <w:tcPr>
            <w:tcW w:w="5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for the repurchase of ordinary shares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92"/>
              </w:rPr>
              <w:t>(994)</w:t>
            </w:r>
          </w:p>
        </w:tc>
        <w:tc>
          <w:tcPr>
            <w:tcW w:w="12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 for the repurchase of Series A convertible redeemable preferred shares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80" w:type="dxa"/>
            <w:vAlign w:val="bottom"/>
            <w:gridSpan w:val="4"/>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(4,800)</w:t>
            </w:r>
          </w:p>
        </w:tc>
        <w:tc>
          <w:tcPr>
            <w:tcW w:w="120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shares sold on behalf of employees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gridSpan w:val="2"/>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48"/>
        </w:trPr>
        <w:tc>
          <w:tcPr>
            <w:tcW w:w="5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89,764</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407,389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814,833</w:t>
            </w:r>
          </w:p>
        </w:tc>
        <w:tc>
          <w:tcPr>
            <w:tcW w:w="0" w:type="dxa"/>
            <w:vAlign w:val="bottom"/>
          </w:tcPr>
          <w:p>
            <w:pPr>
              <w:spacing w:after="0"/>
              <w:rPr>
                <w:sz w:val="1"/>
                <w:szCs w:val="1"/>
                <w:color w:val="auto"/>
              </w:rPr>
            </w:pPr>
          </w:p>
        </w:tc>
      </w:tr>
      <w:tr>
        <w:trPr>
          <w:trHeight w:val="142"/>
        </w:trPr>
        <w:tc>
          <w:tcPr>
            <w:tcW w:w="57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(3,150)</w:t>
            </w:r>
          </w:p>
        </w:tc>
        <w:tc>
          <w:tcPr>
            <w:tcW w:w="240" w:type="dxa"/>
            <w:vAlign w:val="bottom"/>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(5,397)</w:t>
            </w: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(1,177)</w:t>
            </w:r>
          </w:p>
        </w:tc>
        <w:tc>
          <w:tcPr>
            <w:tcW w:w="0" w:type="dxa"/>
            <w:vAlign w:val="bottom"/>
          </w:tcPr>
          <w:p>
            <w:pPr>
              <w:spacing w:after="0"/>
              <w:rPr>
                <w:sz w:val="1"/>
                <w:szCs w:val="1"/>
                <w:color w:val="auto"/>
              </w:rPr>
            </w:pPr>
          </w:p>
        </w:tc>
      </w:tr>
      <w:tr>
        <w:trPr>
          <w:trHeight w:val="149"/>
        </w:trPr>
        <w:tc>
          <w:tcPr>
            <w:tcW w:w="5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Increase (decrease) in cash and cash equivalents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107,687</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109,967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(240,459)</w:t>
            </w:r>
          </w:p>
        </w:tc>
        <w:tc>
          <w:tcPr>
            <w:tcW w:w="0" w:type="dxa"/>
            <w:vAlign w:val="bottom"/>
          </w:tcPr>
          <w:p>
            <w:pPr>
              <w:spacing w:after="0"/>
              <w:rPr>
                <w:sz w:val="1"/>
                <w:szCs w:val="1"/>
                <w:color w:val="auto"/>
              </w:rPr>
            </w:pPr>
          </w:p>
        </w:tc>
      </w:tr>
      <w:tr>
        <w:trPr>
          <w:trHeight w:val="142"/>
        </w:trPr>
        <w:tc>
          <w:tcPr>
            <w:tcW w:w="57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at beginning of year</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318,518</w:t>
            </w:r>
          </w:p>
        </w:tc>
        <w:tc>
          <w:tcPr>
            <w:tcW w:w="240" w:type="dxa"/>
            <w:vAlign w:val="bottom"/>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426,205</w:t>
            </w: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536,172</w:t>
            </w:r>
          </w:p>
        </w:tc>
        <w:tc>
          <w:tcPr>
            <w:tcW w:w="0" w:type="dxa"/>
            <w:vAlign w:val="bottom"/>
          </w:tcPr>
          <w:p>
            <w:pPr>
              <w:spacing w:after="0"/>
              <w:rPr>
                <w:sz w:val="1"/>
                <w:szCs w:val="1"/>
                <w:color w:val="auto"/>
              </w:rPr>
            </w:pPr>
          </w:p>
        </w:tc>
      </w:tr>
      <w:tr>
        <w:trPr>
          <w:trHeight w:val="149"/>
        </w:trPr>
        <w:tc>
          <w:tcPr>
            <w:tcW w:w="5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at end of year</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426,205</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536,172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295,713</w:t>
            </w:r>
          </w:p>
        </w:tc>
        <w:tc>
          <w:tcPr>
            <w:tcW w:w="0" w:type="dxa"/>
            <w:vAlign w:val="bottom"/>
          </w:tcPr>
          <w:p>
            <w:pPr>
              <w:spacing w:after="0"/>
              <w:rPr>
                <w:sz w:val="1"/>
                <w:szCs w:val="1"/>
                <w:color w:val="auto"/>
              </w:rPr>
            </w:pPr>
          </w:p>
        </w:tc>
      </w:tr>
      <w:tr>
        <w:trPr>
          <w:trHeight w:val="142"/>
        </w:trPr>
        <w:tc>
          <w:tcPr>
            <w:tcW w:w="57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425,960</w:t>
            </w:r>
          </w:p>
        </w:tc>
        <w:tc>
          <w:tcPr>
            <w:tcW w:w="240" w:type="dxa"/>
            <w:vAlign w:val="bottom"/>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535,976</w:t>
            </w: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293,489</w:t>
            </w:r>
          </w:p>
        </w:tc>
        <w:tc>
          <w:tcPr>
            <w:tcW w:w="0" w:type="dxa"/>
            <w:vAlign w:val="bottom"/>
          </w:tcPr>
          <w:p>
            <w:pPr>
              <w:spacing w:after="0"/>
              <w:rPr>
                <w:sz w:val="1"/>
                <w:szCs w:val="1"/>
                <w:color w:val="auto"/>
              </w:rPr>
            </w:pPr>
          </w:p>
        </w:tc>
      </w:tr>
      <w:tr>
        <w:trPr>
          <w:trHeight w:val="148"/>
        </w:trPr>
        <w:tc>
          <w:tcPr>
            <w:tcW w:w="5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245</w:t>
            </w:r>
          </w:p>
        </w:tc>
        <w:tc>
          <w:tcPr>
            <w:tcW w:w="24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2,224</w:t>
            </w:r>
          </w:p>
        </w:tc>
        <w:tc>
          <w:tcPr>
            <w:tcW w:w="0" w:type="dxa"/>
            <w:vAlign w:val="bottom"/>
          </w:tcPr>
          <w:p>
            <w:pPr>
              <w:spacing w:after="0"/>
              <w:rPr>
                <w:sz w:val="1"/>
                <w:szCs w:val="1"/>
                <w:color w:val="auto"/>
              </w:rPr>
            </w:pPr>
          </w:p>
        </w:tc>
      </w:tr>
      <w:tr>
        <w:trPr>
          <w:trHeight w:val="182"/>
        </w:trPr>
        <w:tc>
          <w:tcPr>
            <w:tcW w:w="57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at end of year</w:t>
            </w:r>
          </w:p>
        </w:tc>
        <w:tc>
          <w:tcPr>
            <w:tcW w:w="22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426,205</w:t>
            </w:r>
          </w:p>
        </w:tc>
        <w:tc>
          <w:tcPr>
            <w:tcW w:w="2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536,172</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295,713</w:t>
            </w:r>
          </w:p>
        </w:tc>
        <w:tc>
          <w:tcPr>
            <w:tcW w:w="0" w:type="dxa"/>
            <w:vAlign w:val="bottom"/>
          </w:tcPr>
          <w:p>
            <w:pPr>
              <w:spacing w:after="0"/>
              <w:rPr>
                <w:sz w:val="1"/>
                <w:szCs w:val="1"/>
                <w:color w:val="auto"/>
              </w:rPr>
            </w:pPr>
          </w:p>
        </w:tc>
      </w:tr>
      <w:tr>
        <w:trPr>
          <w:trHeight w:val="129"/>
        </w:trPr>
        <w:tc>
          <w:tcPr>
            <w:tcW w:w="57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 Cash paid for income tax</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434</w:t>
            </w: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Non-cash investing and financing activities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 Payable for purchase of property and equipment, and not paid yet</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w:t>
            </w: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11,819</w:t>
            </w:r>
          </w:p>
        </w:tc>
        <w:tc>
          <w:tcPr>
            <w:tcW w:w="0" w:type="dxa"/>
            <w:vAlign w:val="bottom"/>
          </w:tcPr>
          <w:p>
            <w:pPr>
              <w:spacing w:after="0"/>
              <w:rPr>
                <w:sz w:val="1"/>
                <w:szCs w:val="1"/>
                <w:color w:val="auto"/>
              </w:rPr>
            </w:pPr>
          </w:p>
        </w:tc>
      </w:tr>
      <w:tr>
        <w:trPr>
          <w:trHeight w:val="149"/>
        </w:trPr>
        <w:tc>
          <w:tcPr>
            <w:tcW w:w="57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 Accounts receivable settled in shares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24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204" w:lineRule="exact"/>
        <w:rPr>
          <w:sz w:val="20"/>
          <w:szCs w:val="20"/>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OPERATIONS AND PRINCIPAL ACTIVITIES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Pony AI Inc. (the “Company”) was incorporated under the laws of the Cayman Islands on November 4, 2016. The Company, its subsidiaries, and the consolidated variable interest entities (the “VIEs” as defined in note 1(b)) and the VIEs’ subsidiaries (collectively, the “Group”) is an artificial intelligence technology company that principally engaged in the operation and development of autonomous vehicles. The Group conducts its operation mainly in the Chinese mainland and the United States of America (“U.S.”) through subsidiaries and the consolidated VIEs and the VIEs’ subsidiaries.</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November 2024, the Company completed its listing on the National Association of Securities Dealers Automated Quotations (“Nasdaq”). In November 2025, the Company completed its Dual Primary Listing in the Stock Exchange of Hong Kong Limited. Refer to note 11 Ordinary Shares.</w:t>
      </w:r>
    </w:p>
    <w:p>
      <w:pPr>
        <w:spacing w:after="0" w:line="176"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As of December 31, 2025, the Group conducted its business operations across more than 20 subsidiaries. The Company’s major subsidiaries are set out below.</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138"/>
        </w:trPr>
        <w:tc>
          <w:tcPr>
            <w:tcW w:w="2140" w:type="dxa"/>
            <w:vAlign w:val="bottom"/>
          </w:tcPr>
          <w:p>
            <w:pPr>
              <w:spacing w:after="0"/>
              <w:rPr>
                <w:sz w:val="12"/>
                <w:szCs w:val="12"/>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 Later of Date of</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Place of</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w w:val="97"/>
              </w:rPr>
              <w:t>Legal</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35"/>
        </w:trPr>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Incorporation/</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Establishment/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gridSpan w:val="3"/>
          </w:tcPr>
          <w:p>
            <w:pPr>
              <w:jc w:val="center"/>
              <w:ind w:left="62"/>
              <w:spacing w:after="0" w:line="135" w:lineRule="exact"/>
              <w:rPr>
                <w:sz w:val="20"/>
                <w:szCs w:val="20"/>
                <w:color w:val="auto"/>
              </w:rPr>
            </w:pPr>
            <w:r>
              <w:rPr>
                <w:rFonts w:ascii="Times New Roman" w:cs="Times New Roman" w:eastAsia="Times New Roman" w:hAnsi="Times New Roman"/>
                <w:sz w:val="12"/>
                <w:szCs w:val="12"/>
                <w:b w:val="1"/>
                <w:bCs w:val="1"/>
                <w:color w:val="231F20"/>
                <w:w w:val="98"/>
              </w:rPr>
              <w:t>Ownership</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20" w:type="dxa"/>
            <w:vAlign w:val="bottom"/>
          </w:tcPr>
          <w:p>
            <w:pPr>
              <w:ind w:left="500"/>
              <w:spacing w:after="0" w:line="135" w:lineRule="exact"/>
              <w:rPr>
                <w:sz w:val="20"/>
                <w:szCs w:val="20"/>
                <w:color w:val="auto"/>
              </w:rPr>
            </w:pPr>
            <w:r>
              <w:rPr>
                <w:rFonts w:ascii="Times New Roman" w:cs="Times New Roman" w:eastAsia="Times New Roman" w:hAnsi="Times New Roman"/>
                <w:sz w:val="12"/>
                <w:szCs w:val="12"/>
                <w:b w:val="1"/>
                <w:bCs w:val="1"/>
                <w:color w:val="auto"/>
              </w:rPr>
              <w:t>Principal</w:t>
            </w:r>
          </w:p>
        </w:tc>
      </w:tr>
      <w:tr>
        <w:trPr>
          <w:trHeight w:val="145"/>
        </w:trPr>
        <w:tc>
          <w:tcPr>
            <w:tcW w:w="2140" w:type="dxa"/>
            <w:vAlign w:val="bottom"/>
          </w:tcPr>
          <w:p>
            <w:pPr>
              <w:spacing w:after="0"/>
              <w:rPr>
                <w:sz w:val="20"/>
                <w:szCs w:val="20"/>
                <w:color w:val="auto"/>
              </w:rPr>
            </w:pPr>
            <w:r>
              <w:rPr>
                <w:rFonts w:ascii="Times New Roman" w:cs="Times New Roman" w:eastAsia="Times New Roman" w:hAnsi="Times New Roman"/>
                <w:sz w:val="12"/>
                <w:szCs w:val="12"/>
                <w:b w:val="1"/>
                <w:bCs w:val="1"/>
                <w:color w:val="231F20"/>
              </w:rPr>
              <w:t>Name of Entity</w:t>
            </w:r>
          </w:p>
        </w:tc>
        <w:tc>
          <w:tcPr>
            <w:tcW w:w="1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231F20"/>
                <w:w w:val="98"/>
              </w:rPr>
              <w:t>Consolidation</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231F20"/>
                <w:w w:val="97"/>
              </w:rPr>
              <w:t>Incorporation</w:t>
            </w:r>
          </w:p>
        </w:tc>
        <w:tc>
          <w:tcPr>
            <w:tcW w:w="12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231F20"/>
              </w:rPr>
              <w:t>Registered capital</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480" w:type="dxa"/>
            <w:vAlign w:val="bottom"/>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231F20"/>
              </w:rPr>
              <w:t>​​​</w:t>
            </w:r>
          </w:p>
        </w:tc>
        <w:tc>
          <w:tcPr>
            <w:tcW w:w="2020" w:type="dxa"/>
            <w:vAlign w:val="bottom"/>
          </w:tcPr>
          <w:p>
            <w:pPr>
              <w:ind w:left="520"/>
              <w:spacing w:after="0"/>
              <w:rPr>
                <w:sz w:val="20"/>
                <w:szCs w:val="20"/>
                <w:color w:val="auto"/>
              </w:rPr>
            </w:pPr>
            <w:r>
              <w:rPr>
                <w:rFonts w:ascii="Times New Roman" w:cs="Times New Roman" w:eastAsia="Times New Roman" w:hAnsi="Times New Roman"/>
                <w:sz w:val="12"/>
                <w:szCs w:val="12"/>
                <w:b w:val="1"/>
                <w:bCs w:val="1"/>
                <w:color w:val="auto"/>
              </w:rPr>
              <w:t>activities</w:t>
            </w:r>
          </w:p>
        </w:tc>
      </w:tr>
      <w:tr>
        <w:trPr>
          <w:trHeight w:val="120"/>
        </w:trPr>
        <w:tc>
          <w:tcPr>
            <w:tcW w:w="2140" w:type="dxa"/>
            <w:vAlign w:val="bottom"/>
            <w:tcBorders>
              <w:top w:val="single" w:sz="8" w:color="auto"/>
            </w:tcBorders>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231F20"/>
              </w:rPr>
              <w:t>Pony.ai, Inc.</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231F20"/>
                <w:w w:val="94"/>
              </w:rPr>
              <w:t>November 15, 2016</w:t>
            </w:r>
          </w:p>
        </w:tc>
        <w:tc>
          <w:tcPr>
            <w:tcW w:w="12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gridSpan w:val="2"/>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231F20"/>
              </w:rPr>
              <w:t>Delaware, U.S.</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231F20"/>
                <w:w w:val="71"/>
              </w:rPr>
              <w:t>$</w:t>
            </w:r>
          </w:p>
        </w:tc>
        <w:tc>
          <w:tcPr>
            <w:tcW w:w="94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231F20"/>
              </w:rPr>
              <w:t>41.0 million</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231F20"/>
              </w:rPr>
              <w:t>100</w:t>
            </w:r>
          </w:p>
        </w:tc>
        <w:tc>
          <w:tcPr>
            <w:tcW w:w="120" w:type="dxa"/>
            <w:vAlign w:val="bottom"/>
            <w:tcBorders>
              <w:top w:val="single" w:sz="8" w:color="CCEEFF"/>
            </w:tcBorders>
            <w:shd w:val="clear" w:color="auto" w:fill="CCEEFF"/>
          </w:tcPr>
          <w:p>
            <w:pPr>
              <w:spacing w:after="0"/>
              <w:rPr>
                <w:sz w:val="10"/>
                <w:szCs w:val="10"/>
                <w:color w:val="auto"/>
              </w:rPr>
            </w:pPr>
          </w:p>
        </w:tc>
        <w:tc>
          <w:tcPr>
            <w:tcW w:w="2560" w:type="dxa"/>
            <w:vAlign w:val="bottom"/>
            <w:tcBorders>
              <w:top w:val="single" w:sz="8" w:color="auto"/>
            </w:tcBorders>
            <w:gridSpan w:val="2"/>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w w:val="99"/>
              </w:rPr>
              <w:t>Research, development and operation of autonomous</w:t>
            </w:r>
          </w:p>
        </w:tc>
      </w:tr>
      <w:tr>
        <w:trPr>
          <w:trHeight w:val="143"/>
        </w:trPr>
        <w:tc>
          <w:tcPr>
            <w:tcW w:w="2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driving passenger mobility services</w:t>
            </w:r>
          </w:p>
        </w:tc>
      </w:tr>
      <w:tr>
        <w:trPr>
          <w:trHeight w:val="135"/>
        </w:trPr>
        <w:tc>
          <w:tcPr>
            <w:tcW w:w="21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231F20"/>
              </w:rPr>
              <w:t>Hongkong Pony AI Limited</w:t>
            </w:r>
          </w:p>
        </w:tc>
        <w:tc>
          <w:tcPr>
            <w:tcW w:w="10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2"/>
                <w:szCs w:val="12"/>
                <w:color w:val="231F20"/>
                <w:w w:val="95"/>
              </w:rPr>
              <w:t>December 13, 2016</w:t>
            </w:r>
          </w:p>
        </w:tc>
        <w:tc>
          <w:tcPr>
            <w:tcW w:w="96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2"/>
                <w:szCs w:val="12"/>
                <w:color w:val="231F20"/>
                <w:w w:val="96"/>
              </w:rPr>
              <w:t>Hong Kong, PRC</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231F20"/>
              </w:rPr>
              <w:t>Nil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231F20"/>
              </w:rPr>
              <w:t>100</w:t>
            </w:r>
          </w:p>
        </w:tc>
        <w:tc>
          <w:tcPr>
            <w:tcW w:w="2680" w:type="dxa"/>
            <w:vAlign w:val="bottom"/>
            <w:gridSpan w:val="3"/>
          </w:tcPr>
          <w:p>
            <w:pPr>
              <w:ind w:left="120"/>
              <w:spacing w:after="0" w:line="135" w:lineRule="exact"/>
              <w:rPr>
                <w:sz w:val="20"/>
                <w:szCs w:val="20"/>
                <w:color w:val="auto"/>
              </w:rPr>
            </w:pPr>
            <w:r>
              <w:rPr>
                <w:rFonts w:ascii="Times New Roman" w:cs="Times New Roman" w:eastAsia="Times New Roman" w:hAnsi="Times New Roman"/>
                <w:sz w:val="12"/>
                <w:szCs w:val="12"/>
                <w:color w:val="auto"/>
              </w:rPr>
              <w:t>Holding platform company</w:t>
            </w:r>
          </w:p>
        </w:tc>
      </w:tr>
      <w:tr>
        <w:trPr>
          <w:trHeight w:val="127"/>
        </w:trPr>
        <w:tc>
          <w:tcPr>
            <w:tcW w:w="214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231F20"/>
              </w:rPr>
              <w:t>Beijing (ZX) Pony AI Technology Co., Ltd.</w:t>
            </w:r>
          </w:p>
        </w:tc>
        <w:tc>
          <w:tcPr>
            <w:tcW w:w="1040" w:type="dxa"/>
            <w:vAlign w:val="bottom"/>
            <w:gridSpan w:val="2"/>
            <w:shd w:val="clear" w:color="auto" w:fill="CCEEFF"/>
          </w:tcPr>
          <w:p>
            <w:pPr>
              <w:ind w:left="120"/>
              <w:spacing w:after="0" w:line="127" w:lineRule="exact"/>
              <w:rPr>
                <w:sz w:val="20"/>
                <w:szCs w:val="20"/>
                <w:color w:val="auto"/>
              </w:rPr>
            </w:pPr>
            <w:r>
              <w:rPr>
                <w:rFonts w:ascii="Times New Roman" w:cs="Times New Roman" w:eastAsia="Times New Roman" w:hAnsi="Times New Roman"/>
                <w:sz w:val="12"/>
                <w:szCs w:val="12"/>
                <w:color w:val="231F20"/>
                <w:w w:val="95"/>
              </w:rPr>
              <w:t>December 19, 2016</w:t>
            </w:r>
          </w:p>
        </w:tc>
        <w:tc>
          <w:tcPr>
            <w:tcW w:w="960" w:type="dxa"/>
            <w:vAlign w:val="bottom"/>
            <w:gridSpan w:val="3"/>
            <w:shd w:val="clear" w:color="auto" w:fill="CCEEFF"/>
          </w:tcPr>
          <w:p>
            <w:pPr>
              <w:ind w:left="120"/>
              <w:spacing w:after="0" w:line="127" w:lineRule="exact"/>
              <w:rPr>
                <w:sz w:val="20"/>
                <w:szCs w:val="20"/>
                <w:color w:val="auto"/>
              </w:rPr>
            </w:pPr>
            <w:r>
              <w:rPr>
                <w:rFonts w:ascii="Times New Roman" w:cs="Times New Roman" w:eastAsia="Times New Roman" w:hAnsi="Times New Roman"/>
                <w:sz w:val="12"/>
                <w:szCs w:val="12"/>
                <w:color w:val="231F20"/>
              </w:rPr>
              <w:t>Beijing, PRC</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231F20"/>
                <w:w w:val="96"/>
              </w:rPr>
              <w:t>RMB130.0 million</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231F20"/>
              </w:rPr>
              <w:t>100</w:t>
            </w:r>
          </w:p>
        </w:tc>
        <w:tc>
          <w:tcPr>
            <w:tcW w:w="2680" w:type="dxa"/>
            <w:vAlign w:val="bottom"/>
            <w:gridSpan w:val="3"/>
            <w:shd w:val="clear" w:color="auto" w:fill="CCEEFF"/>
          </w:tcPr>
          <w:p>
            <w:pPr>
              <w:ind w:left="120"/>
              <w:spacing w:after="0" w:line="127" w:lineRule="exact"/>
              <w:rPr>
                <w:sz w:val="20"/>
                <w:szCs w:val="20"/>
                <w:color w:val="auto"/>
              </w:rPr>
            </w:pPr>
            <w:r>
              <w:rPr>
                <w:rFonts w:ascii="Times New Roman" w:cs="Times New Roman" w:eastAsia="Times New Roman" w:hAnsi="Times New Roman"/>
                <w:sz w:val="12"/>
                <w:szCs w:val="12"/>
                <w:color w:val="auto"/>
                <w:w w:val="99"/>
              </w:rPr>
              <w:t>Research, development and operation of autonomous</w:t>
            </w:r>
          </w:p>
        </w:tc>
      </w:tr>
      <w:tr>
        <w:trPr>
          <w:trHeight w:val="143"/>
        </w:trPr>
        <w:tc>
          <w:tcPr>
            <w:tcW w:w="2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231F20"/>
              </w:rPr>
              <w:t>(“Beijing ZX”)</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driving passenger mobility services</w:t>
            </w:r>
          </w:p>
        </w:tc>
      </w:tr>
      <w:tr>
        <w:trPr>
          <w:trHeight w:val="127"/>
        </w:trPr>
        <w:tc>
          <w:tcPr>
            <w:tcW w:w="2140" w:type="dxa"/>
            <w:vAlign w:val="bottom"/>
          </w:tcPr>
          <w:p>
            <w:pPr>
              <w:spacing w:after="0" w:line="127" w:lineRule="exact"/>
              <w:rPr>
                <w:sz w:val="20"/>
                <w:szCs w:val="20"/>
                <w:color w:val="auto"/>
              </w:rPr>
            </w:pPr>
            <w:r>
              <w:rPr>
                <w:rFonts w:ascii="Times New Roman" w:cs="Times New Roman" w:eastAsia="Times New Roman" w:hAnsi="Times New Roman"/>
                <w:sz w:val="12"/>
                <w:szCs w:val="12"/>
                <w:color w:val="231F20"/>
                <w:w w:val="99"/>
              </w:rPr>
              <w:t>Beijing (HX) Pony AI Technology Co., Ltd.</w:t>
            </w:r>
          </w:p>
        </w:tc>
        <w:tc>
          <w:tcPr>
            <w:tcW w:w="1040" w:type="dxa"/>
            <w:vAlign w:val="bottom"/>
            <w:gridSpan w:val="2"/>
          </w:tcPr>
          <w:p>
            <w:pPr>
              <w:ind w:left="120"/>
              <w:spacing w:after="0" w:line="127" w:lineRule="exact"/>
              <w:rPr>
                <w:sz w:val="20"/>
                <w:szCs w:val="20"/>
                <w:color w:val="auto"/>
              </w:rPr>
            </w:pPr>
            <w:r>
              <w:rPr>
                <w:rFonts w:ascii="Times New Roman" w:cs="Times New Roman" w:eastAsia="Times New Roman" w:hAnsi="Times New Roman"/>
                <w:sz w:val="12"/>
                <w:szCs w:val="12"/>
                <w:color w:val="231F20"/>
              </w:rPr>
              <w:t>April 1, 2017</w:t>
            </w:r>
          </w:p>
        </w:tc>
        <w:tc>
          <w:tcPr>
            <w:tcW w:w="960" w:type="dxa"/>
            <w:vAlign w:val="bottom"/>
            <w:gridSpan w:val="3"/>
          </w:tcPr>
          <w:p>
            <w:pPr>
              <w:ind w:left="120"/>
              <w:spacing w:after="0" w:line="127" w:lineRule="exact"/>
              <w:rPr>
                <w:sz w:val="20"/>
                <w:szCs w:val="20"/>
                <w:color w:val="auto"/>
              </w:rPr>
            </w:pPr>
            <w:r>
              <w:rPr>
                <w:rFonts w:ascii="Times New Roman" w:cs="Times New Roman" w:eastAsia="Times New Roman" w:hAnsi="Times New Roman"/>
                <w:sz w:val="12"/>
                <w:szCs w:val="12"/>
                <w:color w:val="231F20"/>
              </w:rPr>
              <w:t>Beijing, PRC</w:t>
            </w:r>
          </w:p>
        </w:tc>
        <w:tc>
          <w:tcPr>
            <w:tcW w:w="180" w:type="dxa"/>
            <w:vAlign w:val="bottom"/>
            <w:gridSpan w:val="2"/>
          </w:tcPr>
          <w:p>
            <w:pPr>
              <w:jc w:val="right"/>
              <w:spacing w:after="0" w:line="127" w:lineRule="exact"/>
              <w:rPr>
                <w:sz w:val="20"/>
                <w:szCs w:val="20"/>
                <w:color w:val="auto"/>
              </w:rPr>
            </w:pPr>
            <w:r>
              <w:rPr>
                <w:rFonts w:ascii="Times New Roman" w:cs="Times New Roman" w:eastAsia="Times New Roman" w:hAnsi="Times New Roman"/>
                <w:sz w:val="12"/>
                <w:szCs w:val="12"/>
                <w:color w:val="231F20"/>
              </w:rPr>
              <w:t>$</w:t>
            </w:r>
          </w:p>
        </w:tc>
        <w:tc>
          <w:tcPr>
            <w:tcW w:w="9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231F20"/>
              </w:rPr>
              <w:t>140.0 million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231F20"/>
              </w:rPr>
              <w:t>100</w:t>
            </w:r>
          </w:p>
        </w:tc>
        <w:tc>
          <w:tcPr>
            <w:tcW w:w="2680" w:type="dxa"/>
            <w:vAlign w:val="bottom"/>
            <w:gridSpan w:val="3"/>
          </w:tcPr>
          <w:p>
            <w:pPr>
              <w:ind w:left="120"/>
              <w:spacing w:after="0" w:line="127" w:lineRule="exact"/>
              <w:rPr>
                <w:sz w:val="20"/>
                <w:szCs w:val="20"/>
                <w:color w:val="auto"/>
              </w:rPr>
            </w:pPr>
            <w:r>
              <w:rPr>
                <w:rFonts w:ascii="Times New Roman" w:cs="Times New Roman" w:eastAsia="Times New Roman" w:hAnsi="Times New Roman"/>
                <w:sz w:val="12"/>
                <w:szCs w:val="12"/>
                <w:color w:val="auto"/>
                <w:w w:val="99"/>
              </w:rPr>
              <w:t>Research, development and operation of autonomous</w:t>
            </w:r>
          </w:p>
        </w:tc>
      </w:tr>
      <w:tr>
        <w:trPr>
          <w:trHeight w:val="143"/>
        </w:trPr>
        <w:tc>
          <w:tcPr>
            <w:tcW w:w="2140" w:type="dxa"/>
            <w:vAlign w:val="bottom"/>
          </w:tcPr>
          <w:p>
            <w:pPr>
              <w:ind w:left="120"/>
              <w:spacing w:after="0"/>
              <w:rPr>
                <w:sz w:val="20"/>
                <w:szCs w:val="20"/>
                <w:color w:val="auto"/>
              </w:rPr>
            </w:pPr>
            <w:r>
              <w:rPr>
                <w:rFonts w:ascii="Times New Roman" w:cs="Times New Roman" w:eastAsia="Times New Roman" w:hAnsi="Times New Roman"/>
                <w:sz w:val="12"/>
                <w:szCs w:val="12"/>
                <w:color w:val="231F20"/>
              </w:rPr>
              <w:t>(“Beijing HX”)</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8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freight and shareholding platform</w:t>
            </w:r>
          </w:p>
        </w:tc>
      </w:tr>
      <w:tr>
        <w:trPr>
          <w:trHeight w:val="127"/>
        </w:trPr>
        <w:tc>
          <w:tcPr>
            <w:tcW w:w="214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231F20"/>
              </w:rPr>
              <w:t>Guangzhou (ZX) Pony AI Technology Co.,</w:t>
            </w:r>
          </w:p>
        </w:tc>
        <w:tc>
          <w:tcPr>
            <w:tcW w:w="1040" w:type="dxa"/>
            <w:vAlign w:val="bottom"/>
            <w:gridSpan w:val="2"/>
            <w:shd w:val="clear" w:color="auto" w:fill="CCEEFF"/>
          </w:tcPr>
          <w:p>
            <w:pPr>
              <w:ind w:left="120"/>
              <w:spacing w:after="0" w:line="127" w:lineRule="exact"/>
              <w:rPr>
                <w:sz w:val="20"/>
                <w:szCs w:val="20"/>
                <w:color w:val="auto"/>
              </w:rPr>
            </w:pPr>
            <w:r>
              <w:rPr>
                <w:rFonts w:ascii="Times New Roman" w:cs="Times New Roman" w:eastAsia="Times New Roman" w:hAnsi="Times New Roman"/>
                <w:sz w:val="12"/>
                <w:szCs w:val="12"/>
                <w:color w:val="231F20"/>
              </w:rPr>
              <w:t>October 25, 2017</w:t>
            </w:r>
          </w:p>
        </w:tc>
        <w:tc>
          <w:tcPr>
            <w:tcW w:w="960" w:type="dxa"/>
            <w:vAlign w:val="bottom"/>
            <w:gridSpan w:val="3"/>
            <w:shd w:val="clear" w:color="auto" w:fill="CCEEFF"/>
          </w:tcPr>
          <w:p>
            <w:pPr>
              <w:ind w:left="120"/>
              <w:spacing w:after="0" w:line="127" w:lineRule="exact"/>
              <w:rPr>
                <w:sz w:val="20"/>
                <w:szCs w:val="20"/>
                <w:color w:val="auto"/>
              </w:rPr>
            </w:pPr>
            <w:r>
              <w:rPr>
                <w:rFonts w:ascii="Times New Roman" w:cs="Times New Roman" w:eastAsia="Times New Roman" w:hAnsi="Times New Roman"/>
                <w:sz w:val="12"/>
                <w:szCs w:val="12"/>
                <w:color w:val="231F20"/>
                <w:w w:val="96"/>
              </w:rPr>
              <w:t>Guangdong, PRC</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231F20"/>
                <w:w w:val="96"/>
              </w:rPr>
              <w:t>RMB100.0 million</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231F20"/>
              </w:rPr>
              <w:t>100</w:t>
            </w:r>
          </w:p>
        </w:tc>
        <w:tc>
          <w:tcPr>
            <w:tcW w:w="2680" w:type="dxa"/>
            <w:vAlign w:val="bottom"/>
            <w:gridSpan w:val="3"/>
            <w:shd w:val="clear" w:color="auto" w:fill="CCEEFF"/>
          </w:tcPr>
          <w:p>
            <w:pPr>
              <w:ind w:left="120"/>
              <w:spacing w:after="0" w:line="127" w:lineRule="exact"/>
              <w:rPr>
                <w:sz w:val="20"/>
                <w:szCs w:val="20"/>
                <w:color w:val="auto"/>
              </w:rPr>
            </w:pPr>
            <w:r>
              <w:rPr>
                <w:rFonts w:ascii="Times New Roman" w:cs="Times New Roman" w:eastAsia="Times New Roman" w:hAnsi="Times New Roman"/>
                <w:sz w:val="12"/>
                <w:szCs w:val="12"/>
                <w:color w:val="auto"/>
                <w:w w:val="99"/>
              </w:rPr>
              <w:t>Research, development and operation of autonomous</w:t>
            </w:r>
          </w:p>
        </w:tc>
      </w:tr>
      <w:tr>
        <w:trPr>
          <w:trHeight w:val="143"/>
        </w:trPr>
        <w:tc>
          <w:tcPr>
            <w:tcW w:w="2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231F20"/>
              </w:rPr>
              <w:t>Ltd. (“Guangzhou ZX”)</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driving passenger mobility services</w:t>
            </w:r>
          </w:p>
        </w:tc>
      </w:tr>
      <w:tr>
        <w:trPr>
          <w:trHeight w:val="127"/>
        </w:trPr>
        <w:tc>
          <w:tcPr>
            <w:tcW w:w="2140" w:type="dxa"/>
            <w:vAlign w:val="bottom"/>
          </w:tcPr>
          <w:p>
            <w:pPr>
              <w:spacing w:after="0" w:line="127" w:lineRule="exact"/>
              <w:rPr>
                <w:sz w:val="20"/>
                <w:szCs w:val="20"/>
                <w:color w:val="auto"/>
              </w:rPr>
            </w:pPr>
            <w:r>
              <w:rPr>
                <w:rFonts w:ascii="Times New Roman" w:cs="Times New Roman" w:eastAsia="Times New Roman" w:hAnsi="Times New Roman"/>
                <w:sz w:val="12"/>
                <w:szCs w:val="12"/>
                <w:color w:val="231F20"/>
              </w:rPr>
              <w:t>Guangzhou (HX) Pony AI Technology Co.,</w:t>
            </w:r>
          </w:p>
        </w:tc>
        <w:tc>
          <w:tcPr>
            <w:tcW w:w="1040" w:type="dxa"/>
            <w:vAlign w:val="bottom"/>
            <w:gridSpan w:val="2"/>
          </w:tcPr>
          <w:p>
            <w:pPr>
              <w:ind w:left="120"/>
              <w:spacing w:after="0" w:line="127" w:lineRule="exact"/>
              <w:rPr>
                <w:sz w:val="20"/>
                <w:szCs w:val="20"/>
                <w:color w:val="auto"/>
              </w:rPr>
            </w:pPr>
            <w:r>
              <w:rPr>
                <w:rFonts w:ascii="Times New Roman" w:cs="Times New Roman" w:eastAsia="Times New Roman" w:hAnsi="Times New Roman"/>
                <w:sz w:val="12"/>
                <w:szCs w:val="12"/>
                <w:color w:val="231F20"/>
              </w:rPr>
              <w:t>January 12, 2018</w:t>
            </w:r>
          </w:p>
        </w:tc>
        <w:tc>
          <w:tcPr>
            <w:tcW w:w="960" w:type="dxa"/>
            <w:vAlign w:val="bottom"/>
            <w:gridSpan w:val="3"/>
          </w:tcPr>
          <w:p>
            <w:pPr>
              <w:ind w:left="120"/>
              <w:spacing w:after="0" w:line="127" w:lineRule="exact"/>
              <w:rPr>
                <w:sz w:val="20"/>
                <w:szCs w:val="20"/>
                <w:color w:val="auto"/>
              </w:rPr>
            </w:pPr>
            <w:r>
              <w:rPr>
                <w:rFonts w:ascii="Times New Roman" w:cs="Times New Roman" w:eastAsia="Times New Roman" w:hAnsi="Times New Roman"/>
                <w:sz w:val="12"/>
                <w:szCs w:val="12"/>
                <w:color w:val="231F20"/>
                <w:w w:val="96"/>
              </w:rPr>
              <w:t>Guangdong, PRC</w:t>
            </w:r>
          </w:p>
        </w:tc>
        <w:tc>
          <w:tcPr>
            <w:tcW w:w="180" w:type="dxa"/>
            <w:vAlign w:val="bottom"/>
            <w:gridSpan w:val="2"/>
          </w:tcPr>
          <w:p>
            <w:pPr>
              <w:jc w:val="right"/>
              <w:spacing w:after="0" w:line="127" w:lineRule="exact"/>
              <w:rPr>
                <w:sz w:val="20"/>
                <w:szCs w:val="20"/>
                <w:color w:val="auto"/>
              </w:rPr>
            </w:pPr>
            <w:r>
              <w:rPr>
                <w:rFonts w:ascii="Times New Roman" w:cs="Times New Roman" w:eastAsia="Times New Roman" w:hAnsi="Times New Roman"/>
                <w:sz w:val="12"/>
                <w:szCs w:val="12"/>
                <w:color w:val="231F20"/>
              </w:rPr>
              <w:t>$</w:t>
            </w:r>
          </w:p>
        </w:tc>
        <w:tc>
          <w:tcPr>
            <w:tcW w:w="9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231F20"/>
              </w:rPr>
              <w:t>348.0 million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231F20"/>
              </w:rPr>
              <w:t>100</w:t>
            </w:r>
          </w:p>
        </w:tc>
        <w:tc>
          <w:tcPr>
            <w:tcW w:w="2680" w:type="dxa"/>
            <w:vAlign w:val="bottom"/>
            <w:gridSpan w:val="3"/>
          </w:tcPr>
          <w:p>
            <w:pPr>
              <w:ind w:left="120"/>
              <w:spacing w:after="0" w:line="127" w:lineRule="exact"/>
              <w:rPr>
                <w:sz w:val="20"/>
                <w:szCs w:val="20"/>
                <w:color w:val="auto"/>
              </w:rPr>
            </w:pPr>
            <w:r>
              <w:rPr>
                <w:rFonts w:ascii="Times New Roman" w:cs="Times New Roman" w:eastAsia="Times New Roman" w:hAnsi="Times New Roman"/>
                <w:sz w:val="12"/>
                <w:szCs w:val="12"/>
                <w:color w:val="auto"/>
                <w:w w:val="99"/>
              </w:rPr>
              <w:t>Research, development and operation of autonomous</w:t>
            </w:r>
          </w:p>
        </w:tc>
      </w:tr>
      <w:tr>
        <w:trPr>
          <w:trHeight w:val="143"/>
        </w:trPr>
        <w:tc>
          <w:tcPr>
            <w:tcW w:w="2140" w:type="dxa"/>
            <w:vAlign w:val="bottom"/>
          </w:tcPr>
          <w:p>
            <w:pPr>
              <w:ind w:left="120"/>
              <w:spacing w:after="0"/>
              <w:rPr>
                <w:sz w:val="20"/>
                <w:szCs w:val="20"/>
                <w:color w:val="auto"/>
              </w:rPr>
            </w:pPr>
            <w:r>
              <w:rPr>
                <w:rFonts w:ascii="Times New Roman" w:cs="Times New Roman" w:eastAsia="Times New Roman" w:hAnsi="Times New Roman"/>
                <w:sz w:val="12"/>
                <w:szCs w:val="12"/>
                <w:color w:val="231F20"/>
              </w:rPr>
              <w:t>Ltd. (“Guangzhou HX”)</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8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driving passenger mobility services</w:t>
            </w:r>
          </w:p>
        </w:tc>
      </w:tr>
      <w:tr>
        <w:trPr>
          <w:trHeight w:val="127"/>
        </w:trPr>
        <w:tc>
          <w:tcPr>
            <w:tcW w:w="214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231F20"/>
                <w:w w:val="99"/>
              </w:rPr>
              <w:t>Beijing (YX) Pony AI Technology Co., Ltd.</w:t>
            </w:r>
          </w:p>
        </w:tc>
        <w:tc>
          <w:tcPr>
            <w:tcW w:w="1040" w:type="dxa"/>
            <w:vAlign w:val="bottom"/>
            <w:gridSpan w:val="2"/>
            <w:shd w:val="clear" w:color="auto" w:fill="CCEEFF"/>
          </w:tcPr>
          <w:p>
            <w:pPr>
              <w:ind w:left="120"/>
              <w:spacing w:after="0" w:line="127" w:lineRule="exact"/>
              <w:rPr>
                <w:sz w:val="20"/>
                <w:szCs w:val="20"/>
                <w:color w:val="auto"/>
              </w:rPr>
            </w:pPr>
            <w:r>
              <w:rPr>
                <w:rFonts w:ascii="Times New Roman" w:cs="Times New Roman" w:eastAsia="Times New Roman" w:hAnsi="Times New Roman"/>
                <w:sz w:val="12"/>
                <w:szCs w:val="12"/>
                <w:color w:val="231F20"/>
              </w:rPr>
              <w:t>June 19, 2019</w:t>
            </w:r>
          </w:p>
        </w:tc>
        <w:tc>
          <w:tcPr>
            <w:tcW w:w="960" w:type="dxa"/>
            <w:vAlign w:val="bottom"/>
            <w:gridSpan w:val="3"/>
            <w:shd w:val="clear" w:color="auto" w:fill="CCEEFF"/>
          </w:tcPr>
          <w:p>
            <w:pPr>
              <w:ind w:left="120"/>
              <w:spacing w:after="0" w:line="127" w:lineRule="exact"/>
              <w:rPr>
                <w:sz w:val="20"/>
                <w:szCs w:val="20"/>
                <w:color w:val="auto"/>
              </w:rPr>
            </w:pPr>
            <w:r>
              <w:rPr>
                <w:rFonts w:ascii="Times New Roman" w:cs="Times New Roman" w:eastAsia="Times New Roman" w:hAnsi="Times New Roman"/>
                <w:sz w:val="12"/>
                <w:szCs w:val="12"/>
                <w:color w:val="231F20"/>
              </w:rPr>
              <w:t>Beijing, PRC</w:t>
            </w:r>
          </w:p>
        </w:tc>
        <w:tc>
          <w:tcPr>
            <w:tcW w:w="180" w:type="dxa"/>
            <w:vAlign w:val="bottom"/>
            <w:gridSpan w:val="2"/>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231F20"/>
              </w:rPr>
              <w:t>$</w:t>
            </w:r>
          </w:p>
        </w:tc>
        <w:tc>
          <w:tcPr>
            <w:tcW w:w="94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400.0 million</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231F20"/>
              </w:rPr>
              <w:t>100</w:t>
            </w:r>
          </w:p>
        </w:tc>
        <w:tc>
          <w:tcPr>
            <w:tcW w:w="2680" w:type="dxa"/>
            <w:vAlign w:val="bottom"/>
            <w:gridSpan w:val="3"/>
            <w:shd w:val="clear" w:color="auto" w:fill="CCEEFF"/>
          </w:tcPr>
          <w:p>
            <w:pPr>
              <w:ind w:left="120"/>
              <w:spacing w:after="0" w:line="127" w:lineRule="exact"/>
              <w:rPr>
                <w:sz w:val="20"/>
                <w:szCs w:val="20"/>
                <w:color w:val="auto"/>
              </w:rPr>
            </w:pPr>
            <w:r>
              <w:rPr>
                <w:rFonts w:ascii="Times New Roman" w:cs="Times New Roman" w:eastAsia="Times New Roman" w:hAnsi="Times New Roman"/>
                <w:sz w:val="12"/>
                <w:szCs w:val="12"/>
                <w:color w:val="auto"/>
                <w:w w:val="99"/>
              </w:rPr>
              <w:t>Research, development and operation of autonomous</w:t>
            </w:r>
          </w:p>
        </w:tc>
      </w:tr>
      <w:tr>
        <w:trPr>
          <w:trHeight w:val="143"/>
        </w:trPr>
        <w:tc>
          <w:tcPr>
            <w:tcW w:w="2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231F20"/>
              </w:rPr>
              <w:t>(“Beijing YX”)</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driving passenger mobility services</w:t>
            </w:r>
          </w:p>
        </w:tc>
      </w:tr>
      <w:tr>
        <w:trPr>
          <w:trHeight w:val="127"/>
        </w:trPr>
        <w:tc>
          <w:tcPr>
            <w:tcW w:w="2140" w:type="dxa"/>
            <w:vAlign w:val="bottom"/>
          </w:tcPr>
          <w:p>
            <w:pPr>
              <w:spacing w:after="0" w:line="127" w:lineRule="exact"/>
              <w:rPr>
                <w:sz w:val="20"/>
                <w:szCs w:val="20"/>
                <w:color w:val="auto"/>
              </w:rPr>
            </w:pPr>
            <w:r>
              <w:rPr>
                <w:rFonts w:ascii="Times New Roman" w:cs="Times New Roman" w:eastAsia="Times New Roman" w:hAnsi="Times New Roman"/>
                <w:sz w:val="12"/>
                <w:szCs w:val="12"/>
                <w:color w:val="231F20"/>
              </w:rPr>
              <w:t>Shanghai (YX) Pony AI Technology Co.,</w:t>
            </w:r>
          </w:p>
        </w:tc>
        <w:tc>
          <w:tcPr>
            <w:tcW w:w="1040" w:type="dxa"/>
            <w:vAlign w:val="bottom"/>
            <w:gridSpan w:val="2"/>
          </w:tcPr>
          <w:p>
            <w:pPr>
              <w:ind w:left="120"/>
              <w:spacing w:after="0" w:line="127" w:lineRule="exact"/>
              <w:rPr>
                <w:sz w:val="20"/>
                <w:szCs w:val="20"/>
                <w:color w:val="auto"/>
              </w:rPr>
            </w:pPr>
            <w:r>
              <w:rPr>
                <w:rFonts w:ascii="Times New Roman" w:cs="Times New Roman" w:eastAsia="Times New Roman" w:hAnsi="Times New Roman"/>
                <w:sz w:val="12"/>
                <w:szCs w:val="12"/>
                <w:color w:val="231F20"/>
              </w:rPr>
              <w:t>May 29, 2020</w:t>
            </w:r>
          </w:p>
        </w:tc>
        <w:tc>
          <w:tcPr>
            <w:tcW w:w="960" w:type="dxa"/>
            <w:vAlign w:val="bottom"/>
            <w:gridSpan w:val="3"/>
          </w:tcPr>
          <w:p>
            <w:pPr>
              <w:ind w:left="120"/>
              <w:spacing w:after="0" w:line="127" w:lineRule="exact"/>
              <w:rPr>
                <w:sz w:val="20"/>
                <w:szCs w:val="20"/>
                <w:color w:val="auto"/>
              </w:rPr>
            </w:pPr>
            <w:r>
              <w:rPr>
                <w:rFonts w:ascii="Times New Roman" w:cs="Times New Roman" w:eastAsia="Times New Roman" w:hAnsi="Times New Roman"/>
                <w:sz w:val="12"/>
                <w:szCs w:val="12"/>
                <w:color w:val="231F20"/>
              </w:rPr>
              <w:t>Shanghai, PRC</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231F20"/>
                <w:w w:val="96"/>
              </w:rPr>
              <w:t>RMB600.0 million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231F20"/>
              </w:rPr>
              <w:t>100</w:t>
            </w:r>
          </w:p>
        </w:tc>
        <w:tc>
          <w:tcPr>
            <w:tcW w:w="2680" w:type="dxa"/>
            <w:vAlign w:val="bottom"/>
            <w:gridSpan w:val="3"/>
          </w:tcPr>
          <w:p>
            <w:pPr>
              <w:ind w:left="120"/>
              <w:spacing w:after="0" w:line="127" w:lineRule="exact"/>
              <w:rPr>
                <w:sz w:val="20"/>
                <w:szCs w:val="20"/>
                <w:color w:val="auto"/>
              </w:rPr>
            </w:pPr>
            <w:r>
              <w:rPr>
                <w:rFonts w:ascii="Times New Roman" w:cs="Times New Roman" w:eastAsia="Times New Roman" w:hAnsi="Times New Roman"/>
                <w:sz w:val="12"/>
                <w:szCs w:val="12"/>
                <w:color w:val="auto"/>
                <w:w w:val="99"/>
              </w:rPr>
              <w:t>Research, development and operation of autonomous</w:t>
            </w:r>
          </w:p>
        </w:tc>
      </w:tr>
      <w:tr>
        <w:trPr>
          <w:trHeight w:val="143"/>
        </w:trPr>
        <w:tc>
          <w:tcPr>
            <w:tcW w:w="2140" w:type="dxa"/>
            <w:vAlign w:val="bottom"/>
          </w:tcPr>
          <w:p>
            <w:pPr>
              <w:ind w:left="120"/>
              <w:spacing w:after="0"/>
              <w:rPr>
                <w:sz w:val="20"/>
                <w:szCs w:val="20"/>
                <w:color w:val="auto"/>
              </w:rPr>
            </w:pPr>
            <w:r>
              <w:rPr>
                <w:rFonts w:ascii="Times New Roman" w:cs="Times New Roman" w:eastAsia="Times New Roman" w:hAnsi="Times New Roman"/>
                <w:sz w:val="12"/>
                <w:szCs w:val="12"/>
                <w:color w:val="231F20"/>
              </w:rPr>
              <w:t>Ltd. (“Shanghai YX”)</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8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driving passenger mobility services</w:t>
            </w:r>
          </w:p>
        </w:tc>
      </w:tr>
      <w:tr>
        <w:trPr>
          <w:trHeight w:val="127"/>
        </w:trPr>
        <w:tc>
          <w:tcPr>
            <w:tcW w:w="214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231F20"/>
              </w:rPr>
              <w:t>Guangzhou (YX) Pony AI Technology Co.,</w:t>
            </w:r>
          </w:p>
        </w:tc>
        <w:tc>
          <w:tcPr>
            <w:tcW w:w="1040" w:type="dxa"/>
            <w:vAlign w:val="bottom"/>
            <w:gridSpan w:val="2"/>
            <w:shd w:val="clear" w:color="auto" w:fill="CCEEFF"/>
          </w:tcPr>
          <w:p>
            <w:pPr>
              <w:ind w:left="120"/>
              <w:spacing w:after="0" w:line="127" w:lineRule="exact"/>
              <w:rPr>
                <w:sz w:val="20"/>
                <w:szCs w:val="20"/>
                <w:color w:val="auto"/>
              </w:rPr>
            </w:pPr>
            <w:r>
              <w:rPr>
                <w:rFonts w:ascii="Times New Roman" w:cs="Times New Roman" w:eastAsia="Times New Roman" w:hAnsi="Times New Roman"/>
                <w:sz w:val="12"/>
                <w:szCs w:val="12"/>
                <w:color w:val="231F20"/>
              </w:rPr>
              <w:t>June 24, 2020</w:t>
            </w:r>
          </w:p>
        </w:tc>
        <w:tc>
          <w:tcPr>
            <w:tcW w:w="960" w:type="dxa"/>
            <w:vAlign w:val="bottom"/>
            <w:gridSpan w:val="3"/>
            <w:shd w:val="clear" w:color="auto" w:fill="CCEEFF"/>
          </w:tcPr>
          <w:p>
            <w:pPr>
              <w:ind w:left="120"/>
              <w:spacing w:after="0" w:line="127" w:lineRule="exact"/>
              <w:rPr>
                <w:sz w:val="20"/>
                <w:szCs w:val="20"/>
                <w:color w:val="auto"/>
              </w:rPr>
            </w:pPr>
            <w:r>
              <w:rPr>
                <w:rFonts w:ascii="Times New Roman" w:cs="Times New Roman" w:eastAsia="Times New Roman" w:hAnsi="Times New Roman"/>
                <w:sz w:val="12"/>
                <w:szCs w:val="12"/>
                <w:color w:val="231F20"/>
                <w:w w:val="96"/>
              </w:rPr>
              <w:t>Guangdong, PRC</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231F20"/>
              </w:rPr>
              <w:t>RMB30.0 million</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231F20"/>
              </w:rPr>
              <w:t>100</w:t>
            </w:r>
          </w:p>
        </w:tc>
        <w:tc>
          <w:tcPr>
            <w:tcW w:w="2680" w:type="dxa"/>
            <w:vAlign w:val="bottom"/>
            <w:gridSpan w:val="3"/>
            <w:shd w:val="clear" w:color="auto" w:fill="CCEEFF"/>
          </w:tcPr>
          <w:p>
            <w:pPr>
              <w:ind w:left="120"/>
              <w:spacing w:after="0" w:line="127" w:lineRule="exact"/>
              <w:rPr>
                <w:sz w:val="20"/>
                <w:szCs w:val="20"/>
                <w:color w:val="auto"/>
              </w:rPr>
            </w:pPr>
            <w:r>
              <w:rPr>
                <w:rFonts w:ascii="Times New Roman" w:cs="Times New Roman" w:eastAsia="Times New Roman" w:hAnsi="Times New Roman"/>
                <w:sz w:val="12"/>
                <w:szCs w:val="12"/>
                <w:color w:val="auto"/>
                <w:w w:val="99"/>
              </w:rPr>
              <w:t>Research, development and operation of autonomous</w:t>
            </w:r>
          </w:p>
        </w:tc>
      </w:tr>
      <w:tr>
        <w:trPr>
          <w:trHeight w:val="143"/>
        </w:trPr>
        <w:tc>
          <w:tcPr>
            <w:tcW w:w="2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231F20"/>
              </w:rPr>
              <w:t>Ltd.</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driving passenger mobility services</w:t>
            </w:r>
          </w:p>
        </w:tc>
      </w:tr>
      <w:tr>
        <w:trPr>
          <w:trHeight w:val="127"/>
        </w:trPr>
        <w:tc>
          <w:tcPr>
            <w:tcW w:w="2140" w:type="dxa"/>
            <w:vAlign w:val="bottom"/>
          </w:tcPr>
          <w:p>
            <w:pPr>
              <w:spacing w:after="0" w:line="127" w:lineRule="exact"/>
              <w:rPr>
                <w:sz w:val="20"/>
                <w:szCs w:val="20"/>
                <w:color w:val="auto"/>
              </w:rPr>
            </w:pPr>
            <w:r>
              <w:rPr>
                <w:rFonts w:ascii="Times New Roman" w:cs="Times New Roman" w:eastAsia="Times New Roman" w:hAnsi="Times New Roman"/>
                <w:sz w:val="12"/>
                <w:szCs w:val="12"/>
                <w:color w:val="231F20"/>
                <w:w w:val="99"/>
              </w:rPr>
              <w:t>Beijing (RX) Pony AI Technology Co., Ltd.</w:t>
            </w:r>
          </w:p>
        </w:tc>
        <w:tc>
          <w:tcPr>
            <w:tcW w:w="1040" w:type="dxa"/>
            <w:vAlign w:val="bottom"/>
            <w:gridSpan w:val="2"/>
          </w:tcPr>
          <w:p>
            <w:pPr>
              <w:ind w:left="120"/>
              <w:spacing w:after="0" w:line="127" w:lineRule="exact"/>
              <w:rPr>
                <w:sz w:val="20"/>
                <w:szCs w:val="20"/>
                <w:color w:val="auto"/>
              </w:rPr>
            </w:pPr>
            <w:r>
              <w:rPr>
                <w:rFonts w:ascii="Times New Roman" w:cs="Times New Roman" w:eastAsia="Times New Roman" w:hAnsi="Times New Roman"/>
                <w:sz w:val="12"/>
                <w:szCs w:val="12"/>
                <w:color w:val="231F20"/>
                <w:w w:val="95"/>
              </w:rPr>
              <w:t>December 14, 2020</w:t>
            </w:r>
          </w:p>
        </w:tc>
        <w:tc>
          <w:tcPr>
            <w:tcW w:w="960" w:type="dxa"/>
            <w:vAlign w:val="bottom"/>
            <w:gridSpan w:val="3"/>
          </w:tcPr>
          <w:p>
            <w:pPr>
              <w:ind w:left="120"/>
              <w:spacing w:after="0" w:line="127" w:lineRule="exact"/>
              <w:rPr>
                <w:sz w:val="20"/>
                <w:szCs w:val="20"/>
                <w:color w:val="auto"/>
              </w:rPr>
            </w:pPr>
            <w:r>
              <w:rPr>
                <w:rFonts w:ascii="Times New Roman" w:cs="Times New Roman" w:eastAsia="Times New Roman" w:hAnsi="Times New Roman"/>
                <w:sz w:val="12"/>
                <w:szCs w:val="12"/>
                <w:color w:val="231F20"/>
              </w:rPr>
              <w:t>Beijing, PRC</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231F20"/>
                <w:w w:val="96"/>
              </w:rPr>
              <w:t>RMB500.0 million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231F20"/>
              </w:rPr>
              <w:t>100</w:t>
            </w:r>
          </w:p>
        </w:tc>
        <w:tc>
          <w:tcPr>
            <w:tcW w:w="2680" w:type="dxa"/>
            <w:vAlign w:val="bottom"/>
            <w:gridSpan w:val="3"/>
          </w:tcPr>
          <w:p>
            <w:pPr>
              <w:ind w:left="120"/>
              <w:spacing w:after="0" w:line="127" w:lineRule="exact"/>
              <w:rPr>
                <w:sz w:val="20"/>
                <w:szCs w:val="20"/>
                <w:color w:val="auto"/>
              </w:rPr>
            </w:pPr>
            <w:r>
              <w:rPr>
                <w:rFonts w:ascii="Times New Roman" w:cs="Times New Roman" w:eastAsia="Times New Roman" w:hAnsi="Times New Roman"/>
                <w:sz w:val="12"/>
                <w:szCs w:val="12"/>
                <w:color w:val="auto"/>
                <w:w w:val="99"/>
              </w:rPr>
              <w:t>Research, development and operation of autonomous</w:t>
            </w:r>
          </w:p>
        </w:tc>
      </w:tr>
      <w:tr>
        <w:trPr>
          <w:trHeight w:val="143"/>
        </w:trPr>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8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driving passenger mobility service</w:t>
            </w:r>
          </w:p>
        </w:tc>
      </w:tr>
      <w:tr>
        <w:trPr>
          <w:trHeight w:val="127"/>
        </w:trPr>
        <w:tc>
          <w:tcPr>
            <w:tcW w:w="214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231F20"/>
              </w:rPr>
              <w:t>Guangzhou Pony Intelligent Logistics</w:t>
            </w:r>
          </w:p>
        </w:tc>
        <w:tc>
          <w:tcPr>
            <w:tcW w:w="1040" w:type="dxa"/>
            <w:vAlign w:val="bottom"/>
            <w:gridSpan w:val="2"/>
            <w:shd w:val="clear" w:color="auto" w:fill="CCEEFF"/>
          </w:tcPr>
          <w:p>
            <w:pPr>
              <w:ind w:left="120"/>
              <w:spacing w:after="0" w:line="127" w:lineRule="exact"/>
              <w:rPr>
                <w:sz w:val="20"/>
                <w:szCs w:val="20"/>
                <w:color w:val="auto"/>
              </w:rPr>
            </w:pPr>
            <w:r>
              <w:rPr>
                <w:rFonts w:ascii="Times New Roman" w:cs="Times New Roman" w:eastAsia="Times New Roman" w:hAnsi="Times New Roman"/>
                <w:sz w:val="12"/>
                <w:szCs w:val="12"/>
                <w:color w:val="231F20"/>
              </w:rPr>
              <w:t>January 19, 2021</w:t>
            </w:r>
          </w:p>
        </w:tc>
        <w:tc>
          <w:tcPr>
            <w:tcW w:w="960" w:type="dxa"/>
            <w:vAlign w:val="bottom"/>
            <w:gridSpan w:val="3"/>
            <w:shd w:val="clear" w:color="auto" w:fill="CCEEFF"/>
          </w:tcPr>
          <w:p>
            <w:pPr>
              <w:ind w:left="120"/>
              <w:spacing w:after="0" w:line="127" w:lineRule="exact"/>
              <w:rPr>
                <w:sz w:val="20"/>
                <w:szCs w:val="20"/>
                <w:color w:val="auto"/>
              </w:rPr>
            </w:pPr>
            <w:r>
              <w:rPr>
                <w:rFonts w:ascii="Times New Roman" w:cs="Times New Roman" w:eastAsia="Times New Roman" w:hAnsi="Times New Roman"/>
                <w:sz w:val="12"/>
                <w:szCs w:val="12"/>
                <w:color w:val="231F20"/>
                <w:w w:val="96"/>
              </w:rPr>
              <w:t>Guangdong, PRC</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231F20"/>
                <w:w w:val="96"/>
              </w:rPr>
              <w:t>RMB100.0 million</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231F20"/>
              </w:rPr>
              <w:t>100</w:t>
            </w:r>
          </w:p>
        </w:tc>
        <w:tc>
          <w:tcPr>
            <w:tcW w:w="2680" w:type="dxa"/>
            <w:vAlign w:val="bottom"/>
            <w:gridSpan w:val="3"/>
            <w:shd w:val="clear" w:color="auto" w:fill="CCEEFF"/>
          </w:tcPr>
          <w:p>
            <w:pPr>
              <w:ind w:left="120"/>
              <w:spacing w:after="0" w:line="127" w:lineRule="exact"/>
              <w:rPr>
                <w:sz w:val="20"/>
                <w:szCs w:val="20"/>
                <w:color w:val="auto"/>
              </w:rPr>
            </w:pPr>
            <w:r>
              <w:rPr>
                <w:rFonts w:ascii="Times New Roman" w:cs="Times New Roman" w:eastAsia="Times New Roman" w:hAnsi="Times New Roman"/>
                <w:sz w:val="12"/>
                <w:szCs w:val="12"/>
                <w:color w:val="auto"/>
              </w:rPr>
              <w:t>Testing and operation of robotrucks</w:t>
            </w:r>
          </w:p>
        </w:tc>
      </w:tr>
      <w:tr>
        <w:trPr>
          <w:trHeight w:val="143"/>
        </w:trPr>
        <w:tc>
          <w:tcPr>
            <w:tcW w:w="2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231F20"/>
              </w:rPr>
              <w:t>Technology Co., Ltd</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r>
      <w:tr>
        <w:trPr>
          <w:trHeight w:val="127"/>
        </w:trPr>
        <w:tc>
          <w:tcPr>
            <w:tcW w:w="2140" w:type="dxa"/>
            <w:vAlign w:val="bottom"/>
          </w:tcPr>
          <w:p>
            <w:pPr>
              <w:spacing w:after="0" w:line="127" w:lineRule="exact"/>
              <w:rPr>
                <w:sz w:val="20"/>
                <w:szCs w:val="20"/>
                <w:color w:val="auto"/>
              </w:rPr>
            </w:pPr>
            <w:r>
              <w:rPr>
                <w:rFonts w:ascii="Times New Roman" w:cs="Times New Roman" w:eastAsia="Times New Roman" w:hAnsi="Times New Roman"/>
                <w:sz w:val="12"/>
                <w:szCs w:val="12"/>
                <w:color w:val="231F20"/>
              </w:rPr>
              <w:t>Shenzhen (YX) Pony AI Technology Co.,</w:t>
            </w:r>
          </w:p>
        </w:tc>
        <w:tc>
          <w:tcPr>
            <w:tcW w:w="1040" w:type="dxa"/>
            <w:vAlign w:val="bottom"/>
            <w:gridSpan w:val="2"/>
          </w:tcPr>
          <w:p>
            <w:pPr>
              <w:ind w:left="120"/>
              <w:spacing w:after="0" w:line="127" w:lineRule="exact"/>
              <w:rPr>
                <w:sz w:val="20"/>
                <w:szCs w:val="20"/>
                <w:color w:val="auto"/>
              </w:rPr>
            </w:pPr>
            <w:r>
              <w:rPr>
                <w:rFonts w:ascii="Times New Roman" w:cs="Times New Roman" w:eastAsia="Times New Roman" w:hAnsi="Times New Roman"/>
                <w:sz w:val="12"/>
                <w:szCs w:val="12"/>
                <w:color w:val="231F20"/>
              </w:rPr>
              <w:t>April 8, 2021</w:t>
            </w:r>
          </w:p>
        </w:tc>
        <w:tc>
          <w:tcPr>
            <w:tcW w:w="960" w:type="dxa"/>
            <w:vAlign w:val="bottom"/>
            <w:gridSpan w:val="3"/>
          </w:tcPr>
          <w:p>
            <w:pPr>
              <w:ind w:left="120"/>
              <w:spacing w:after="0" w:line="127" w:lineRule="exact"/>
              <w:rPr>
                <w:sz w:val="20"/>
                <w:szCs w:val="20"/>
                <w:color w:val="auto"/>
              </w:rPr>
            </w:pPr>
            <w:r>
              <w:rPr>
                <w:rFonts w:ascii="Times New Roman" w:cs="Times New Roman" w:eastAsia="Times New Roman" w:hAnsi="Times New Roman"/>
                <w:sz w:val="12"/>
                <w:szCs w:val="12"/>
                <w:color w:val="231F20"/>
              </w:rPr>
              <w:t>Shenzhen, PRC</w:t>
            </w:r>
          </w:p>
        </w:tc>
        <w:tc>
          <w:tcPr>
            <w:tcW w:w="180" w:type="dxa"/>
            <w:vAlign w:val="bottom"/>
            <w:gridSpan w:val="2"/>
          </w:tcPr>
          <w:p>
            <w:pPr>
              <w:jc w:val="right"/>
              <w:spacing w:after="0" w:line="127" w:lineRule="exact"/>
              <w:rPr>
                <w:sz w:val="20"/>
                <w:szCs w:val="20"/>
                <w:color w:val="auto"/>
              </w:rPr>
            </w:pPr>
            <w:r>
              <w:rPr>
                <w:rFonts w:ascii="Times New Roman" w:cs="Times New Roman" w:eastAsia="Times New Roman" w:hAnsi="Times New Roman"/>
                <w:sz w:val="12"/>
                <w:szCs w:val="12"/>
                <w:color w:val="231F20"/>
              </w:rPr>
              <w:t>$</w:t>
            </w:r>
          </w:p>
        </w:tc>
        <w:tc>
          <w:tcPr>
            <w:tcW w:w="9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231F20"/>
              </w:rPr>
              <w:t>51.0 million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231F20"/>
              </w:rPr>
              <w:t>100</w:t>
            </w:r>
          </w:p>
        </w:tc>
        <w:tc>
          <w:tcPr>
            <w:tcW w:w="2680" w:type="dxa"/>
            <w:vAlign w:val="bottom"/>
            <w:gridSpan w:val="3"/>
          </w:tcPr>
          <w:p>
            <w:pPr>
              <w:ind w:left="120"/>
              <w:spacing w:after="0" w:line="127" w:lineRule="exact"/>
              <w:rPr>
                <w:sz w:val="20"/>
                <w:szCs w:val="20"/>
                <w:color w:val="auto"/>
              </w:rPr>
            </w:pPr>
            <w:r>
              <w:rPr>
                <w:rFonts w:ascii="Times New Roman" w:cs="Times New Roman" w:eastAsia="Times New Roman" w:hAnsi="Times New Roman"/>
                <w:sz w:val="12"/>
                <w:szCs w:val="12"/>
                <w:color w:val="auto"/>
                <w:w w:val="99"/>
              </w:rPr>
              <w:t>Research, development and operation of autonomous</w:t>
            </w:r>
          </w:p>
        </w:tc>
      </w:tr>
      <w:tr>
        <w:trPr>
          <w:trHeight w:val="143"/>
        </w:trPr>
        <w:tc>
          <w:tcPr>
            <w:tcW w:w="2140" w:type="dxa"/>
            <w:vAlign w:val="bottom"/>
          </w:tcPr>
          <w:p>
            <w:pPr>
              <w:ind w:left="120"/>
              <w:spacing w:after="0"/>
              <w:rPr>
                <w:sz w:val="20"/>
                <w:szCs w:val="20"/>
                <w:color w:val="auto"/>
              </w:rPr>
            </w:pPr>
            <w:r>
              <w:rPr>
                <w:rFonts w:ascii="Times New Roman" w:cs="Times New Roman" w:eastAsia="Times New Roman" w:hAnsi="Times New Roman"/>
                <w:sz w:val="12"/>
                <w:szCs w:val="12"/>
                <w:color w:val="231F20"/>
              </w:rPr>
              <w:t>Ltd. (“Shenzhen YX”)</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8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driving passenger mobility services</w:t>
            </w:r>
          </w:p>
        </w:tc>
      </w:tr>
      <w:tr>
        <w:trPr>
          <w:trHeight w:val="127"/>
        </w:trPr>
        <w:tc>
          <w:tcPr>
            <w:tcW w:w="214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231F20"/>
              </w:rPr>
              <w:t>Cyantron Logistics Technology Co., Ltd.</w:t>
            </w:r>
          </w:p>
        </w:tc>
        <w:tc>
          <w:tcPr>
            <w:tcW w:w="1040" w:type="dxa"/>
            <w:vAlign w:val="bottom"/>
            <w:gridSpan w:val="2"/>
            <w:shd w:val="clear" w:color="auto" w:fill="CCEEFF"/>
          </w:tcPr>
          <w:p>
            <w:pPr>
              <w:ind w:left="120"/>
              <w:spacing w:after="0" w:line="127" w:lineRule="exact"/>
              <w:rPr>
                <w:sz w:val="20"/>
                <w:szCs w:val="20"/>
                <w:color w:val="auto"/>
              </w:rPr>
            </w:pPr>
            <w:r>
              <w:rPr>
                <w:rFonts w:ascii="Times New Roman" w:cs="Times New Roman" w:eastAsia="Times New Roman" w:hAnsi="Times New Roman"/>
                <w:sz w:val="12"/>
                <w:szCs w:val="12"/>
                <w:color w:val="231F20"/>
              </w:rPr>
              <w:t>February 17, 2022</w:t>
            </w:r>
          </w:p>
        </w:tc>
        <w:tc>
          <w:tcPr>
            <w:tcW w:w="960" w:type="dxa"/>
            <w:vAlign w:val="bottom"/>
            <w:gridSpan w:val="3"/>
            <w:shd w:val="clear" w:color="auto" w:fill="CCEEFF"/>
          </w:tcPr>
          <w:p>
            <w:pPr>
              <w:ind w:left="120"/>
              <w:spacing w:after="0" w:line="127" w:lineRule="exact"/>
              <w:rPr>
                <w:sz w:val="20"/>
                <w:szCs w:val="20"/>
                <w:color w:val="auto"/>
              </w:rPr>
            </w:pPr>
            <w:r>
              <w:rPr>
                <w:rFonts w:ascii="Times New Roman" w:cs="Times New Roman" w:eastAsia="Times New Roman" w:hAnsi="Times New Roman"/>
                <w:sz w:val="12"/>
                <w:szCs w:val="12"/>
                <w:color w:val="231F20"/>
                <w:w w:val="96"/>
              </w:rPr>
              <w:t>Guangdong, PRC</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231F20"/>
                <w:w w:val="96"/>
              </w:rPr>
              <w:t>RMB100.0 million</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231F20"/>
              </w:rPr>
              <w:t>51</w:t>
            </w:r>
          </w:p>
        </w:tc>
        <w:tc>
          <w:tcPr>
            <w:tcW w:w="2680" w:type="dxa"/>
            <w:vAlign w:val="bottom"/>
            <w:gridSpan w:val="3"/>
            <w:shd w:val="clear" w:color="auto" w:fill="CCEEFF"/>
          </w:tcPr>
          <w:p>
            <w:pPr>
              <w:ind w:left="120"/>
              <w:spacing w:after="0" w:line="127" w:lineRule="exact"/>
              <w:rPr>
                <w:sz w:val="20"/>
                <w:szCs w:val="20"/>
                <w:color w:val="auto"/>
              </w:rPr>
            </w:pPr>
            <w:r>
              <w:rPr>
                <w:rFonts w:ascii="Times New Roman" w:cs="Times New Roman" w:eastAsia="Times New Roman" w:hAnsi="Times New Roman"/>
                <w:sz w:val="12"/>
                <w:szCs w:val="12"/>
                <w:color w:val="auto"/>
              </w:rPr>
              <w:t>Holding platform company</w:t>
            </w:r>
          </w:p>
        </w:tc>
      </w:tr>
      <w:tr>
        <w:trPr>
          <w:trHeight w:val="143"/>
        </w:trPr>
        <w:tc>
          <w:tcPr>
            <w:tcW w:w="2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231F20"/>
              </w:rPr>
              <w:t>(“Cyantron Logistics”)</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r>
      <w:tr>
        <w:trPr>
          <w:trHeight w:val="127"/>
        </w:trPr>
        <w:tc>
          <w:tcPr>
            <w:tcW w:w="2140" w:type="dxa"/>
            <w:vAlign w:val="bottom"/>
          </w:tcPr>
          <w:p>
            <w:pPr>
              <w:spacing w:after="0" w:line="127" w:lineRule="exact"/>
              <w:rPr>
                <w:sz w:val="20"/>
                <w:szCs w:val="20"/>
                <w:color w:val="auto"/>
              </w:rPr>
            </w:pPr>
            <w:r>
              <w:rPr>
                <w:rFonts w:ascii="Times New Roman" w:cs="Times New Roman" w:eastAsia="Times New Roman" w:hAnsi="Times New Roman"/>
                <w:sz w:val="12"/>
                <w:szCs w:val="12"/>
                <w:color w:val="231F20"/>
              </w:rPr>
              <w:t>Shanghai (ZX) Pony AI Technology</w:t>
            </w:r>
          </w:p>
        </w:tc>
        <w:tc>
          <w:tcPr>
            <w:tcW w:w="1040" w:type="dxa"/>
            <w:vAlign w:val="bottom"/>
            <w:gridSpan w:val="2"/>
          </w:tcPr>
          <w:p>
            <w:pPr>
              <w:ind w:left="120"/>
              <w:spacing w:after="0" w:line="127" w:lineRule="exact"/>
              <w:rPr>
                <w:sz w:val="20"/>
                <w:szCs w:val="20"/>
                <w:color w:val="auto"/>
              </w:rPr>
            </w:pPr>
            <w:r>
              <w:rPr>
                <w:rFonts w:ascii="Times New Roman" w:cs="Times New Roman" w:eastAsia="Times New Roman" w:hAnsi="Times New Roman"/>
                <w:sz w:val="12"/>
                <w:szCs w:val="12"/>
                <w:color w:val="231F20"/>
              </w:rPr>
              <w:t>March 3, 2022</w:t>
            </w:r>
          </w:p>
        </w:tc>
        <w:tc>
          <w:tcPr>
            <w:tcW w:w="960" w:type="dxa"/>
            <w:vAlign w:val="bottom"/>
            <w:gridSpan w:val="3"/>
          </w:tcPr>
          <w:p>
            <w:pPr>
              <w:ind w:left="120"/>
              <w:spacing w:after="0" w:line="127" w:lineRule="exact"/>
              <w:rPr>
                <w:sz w:val="20"/>
                <w:szCs w:val="20"/>
                <w:color w:val="auto"/>
              </w:rPr>
            </w:pPr>
            <w:r>
              <w:rPr>
                <w:rFonts w:ascii="Times New Roman" w:cs="Times New Roman" w:eastAsia="Times New Roman" w:hAnsi="Times New Roman"/>
                <w:sz w:val="12"/>
                <w:szCs w:val="12"/>
                <w:color w:val="231F20"/>
              </w:rPr>
              <w:t>Shanghai, PRC</w:t>
            </w:r>
          </w:p>
        </w:tc>
        <w:tc>
          <w:tcPr>
            <w:tcW w:w="180" w:type="dxa"/>
            <w:vAlign w:val="bottom"/>
            <w:gridSpan w:val="2"/>
          </w:tcPr>
          <w:p>
            <w:pPr>
              <w:jc w:val="right"/>
              <w:spacing w:after="0" w:line="127" w:lineRule="exact"/>
              <w:rPr>
                <w:sz w:val="20"/>
                <w:szCs w:val="20"/>
                <w:color w:val="auto"/>
              </w:rPr>
            </w:pPr>
            <w:r>
              <w:rPr>
                <w:rFonts w:ascii="Times New Roman" w:cs="Times New Roman" w:eastAsia="Times New Roman" w:hAnsi="Times New Roman"/>
                <w:sz w:val="12"/>
                <w:szCs w:val="12"/>
                <w:color w:val="231F20"/>
              </w:rPr>
              <w:t>$</w:t>
            </w:r>
          </w:p>
        </w:tc>
        <w:tc>
          <w:tcPr>
            <w:tcW w:w="94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231F20"/>
              </w:rPr>
              <w:t>100.0 million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color w:val="231F20"/>
              </w:rPr>
              <w:t>100</w:t>
            </w:r>
          </w:p>
        </w:tc>
        <w:tc>
          <w:tcPr>
            <w:tcW w:w="2680" w:type="dxa"/>
            <w:vAlign w:val="bottom"/>
            <w:gridSpan w:val="3"/>
          </w:tcPr>
          <w:p>
            <w:pPr>
              <w:ind w:left="120"/>
              <w:spacing w:after="0" w:line="127" w:lineRule="exact"/>
              <w:rPr>
                <w:sz w:val="20"/>
                <w:szCs w:val="20"/>
                <w:color w:val="auto"/>
              </w:rPr>
            </w:pPr>
            <w:r>
              <w:rPr>
                <w:rFonts w:ascii="Times New Roman" w:cs="Times New Roman" w:eastAsia="Times New Roman" w:hAnsi="Times New Roman"/>
                <w:sz w:val="12"/>
                <w:szCs w:val="12"/>
                <w:color w:val="auto"/>
              </w:rPr>
              <w:t>Research, development and commercialization of</w:t>
            </w:r>
          </w:p>
        </w:tc>
      </w:tr>
      <w:tr>
        <w:trPr>
          <w:trHeight w:val="143"/>
        </w:trPr>
        <w:tc>
          <w:tcPr>
            <w:tcW w:w="2140" w:type="dxa"/>
            <w:vAlign w:val="bottom"/>
          </w:tcPr>
          <w:p>
            <w:pPr>
              <w:ind w:left="120"/>
              <w:spacing w:after="0"/>
              <w:rPr>
                <w:sz w:val="20"/>
                <w:szCs w:val="20"/>
                <w:color w:val="auto"/>
              </w:rPr>
            </w:pPr>
            <w:r>
              <w:rPr>
                <w:rFonts w:ascii="Times New Roman" w:cs="Times New Roman" w:eastAsia="Times New Roman" w:hAnsi="Times New Roman"/>
                <w:sz w:val="12"/>
                <w:szCs w:val="12"/>
                <w:color w:val="231F20"/>
              </w:rPr>
              <w:t>Development Co., Ltd.</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8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autonomous driving technology</w:t>
            </w:r>
          </w:p>
        </w:tc>
      </w:tr>
      <w:tr>
        <w:trPr>
          <w:trHeight w:val="127"/>
        </w:trPr>
        <w:tc>
          <w:tcPr>
            <w:tcW w:w="214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231F20"/>
                <w:w w:val="96"/>
              </w:rPr>
              <w:t>Qingdao Cyantron Logistics Technology Co.,</w:t>
            </w:r>
          </w:p>
        </w:tc>
        <w:tc>
          <w:tcPr>
            <w:tcW w:w="1040" w:type="dxa"/>
            <w:vAlign w:val="bottom"/>
            <w:gridSpan w:val="2"/>
            <w:shd w:val="clear" w:color="auto" w:fill="CCEEFF"/>
          </w:tcPr>
          <w:p>
            <w:pPr>
              <w:ind w:left="120"/>
              <w:spacing w:after="0" w:line="127" w:lineRule="exact"/>
              <w:rPr>
                <w:sz w:val="20"/>
                <w:szCs w:val="20"/>
                <w:color w:val="auto"/>
              </w:rPr>
            </w:pPr>
            <w:r>
              <w:rPr>
                <w:rFonts w:ascii="Times New Roman" w:cs="Times New Roman" w:eastAsia="Times New Roman" w:hAnsi="Times New Roman"/>
                <w:sz w:val="12"/>
                <w:szCs w:val="12"/>
                <w:color w:val="231F20"/>
              </w:rPr>
              <w:t>March 14, 2022</w:t>
            </w:r>
          </w:p>
        </w:tc>
        <w:tc>
          <w:tcPr>
            <w:tcW w:w="960" w:type="dxa"/>
            <w:vAlign w:val="bottom"/>
            <w:gridSpan w:val="3"/>
            <w:shd w:val="clear" w:color="auto" w:fill="CCEEFF"/>
          </w:tcPr>
          <w:p>
            <w:pPr>
              <w:ind w:left="120"/>
              <w:spacing w:after="0" w:line="127" w:lineRule="exact"/>
              <w:rPr>
                <w:sz w:val="20"/>
                <w:szCs w:val="20"/>
                <w:color w:val="auto"/>
              </w:rPr>
            </w:pPr>
            <w:r>
              <w:rPr>
                <w:rFonts w:ascii="Times New Roman" w:cs="Times New Roman" w:eastAsia="Times New Roman" w:hAnsi="Times New Roman"/>
                <w:sz w:val="12"/>
                <w:szCs w:val="12"/>
                <w:color w:val="231F20"/>
              </w:rPr>
              <w:t>Shandong, PRC</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231F20"/>
              </w:rPr>
              <w:t>RMB90.0 million</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231F20"/>
              </w:rPr>
              <w:t>51</w:t>
            </w:r>
          </w:p>
        </w:tc>
        <w:tc>
          <w:tcPr>
            <w:tcW w:w="2680" w:type="dxa"/>
            <w:vAlign w:val="bottom"/>
            <w:gridSpan w:val="3"/>
            <w:shd w:val="clear" w:color="auto" w:fill="CCEEFF"/>
          </w:tcPr>
          <w:p>
            <w:pPr>
              <w:ind w:left="120"/>
              <w:spacing w:after="0" w:line="127" w:lineRule="exact"/>
              <w:rPr>
                <w:sz w:val="20"/>
                <w:szCs w:val="20"/>
                <w:color w:val="auto"/>
              </w:rPr>
            </w:pPr>
            <w:r>
              <w:rPr>
                <w:rFonts w:ascii="Times New Roman" w:cs="Times New Roman" w:eastAsia="Times New Roman" w:hAnsi="Times New Roman"/>
                <w:sz w:val="12"/>
                <w:szCs w:val="12"/>
                <w:color w:val="auto"/>
              </w:rPr>
              <w:t>Autonomous driving freight operation</w:t>
            </w:r>
          </w:p>
        </w:tc>
      </w:tr>
      <w:tr>
        <w:trPr>
          <w:trHeight w:val="143"/>
        </w:trPr>
        <w:tc>
          <w:tcPr>
            <w:tcW w:w="2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231F20"/>
              </w:rPr>
              <w:t>Ltd.</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OPERATIONS AND PRINCIPAL ACTIVITIES – </w:t>
      </w:r>
      <w:r>
        <w:rPr>
          <w:rFonts w:ascii="Times New Roman" w:cs="Times New Roman" w:eastAsia="Times New Roman" w:hAnsi="Times New Roman"/>
          <w:sz w:val="18"/>
          <w:szCs w:val="18"/>
          <w:color w:val="auto"/>
        </w:rPr>
        <w:t>continued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VIEs in the Chinese mainland</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Applicable Chinese mainland laws and regulations prohibit or restrict entities with direct foreign ownership from engaging in certain businesses activities in the Chinese mainland. The Company established a series of contractual arrangements with Beijing ZX and Guangzhou ZX (the “VIEs”) and their shareholders (“Nominee Stockholders”) primarily for business development purposes where the Company’s business is currently not subject to any foreign ownership restrictions under the applicable Chinese mainland laws and regulations, it may expand its business operations into areas that are subject to foreign ownership restrictions through the existing VIEs and other VIEs to be established if necessary.</w:t>
      </w:r>
    </w:p>
    <w:p>
      <w:pPr>
        <w:spacing w:after="0" w:line="18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Historically and as of December 31, 2023, the Company, through Beijing HX and Guangzhou HX (the “WFOEs”), entered into the following contractual arrangements with the VIEs, and the Nominee Stockholders that enabled the Company to (1) have power to direct the activities that most significantly affect the economic performance of the VIEs, and (2) bear the risks and enjoy the rewards normally associated with ownership of the VIEs. Accordingly, the WFOEs are considered the primary beneficiaries of the VIEs, and the financial results of operations, assets and liabilities of the VIEs and their subsidiaries were included in the consolidated financial statements.</w:t>
      </w:r>
    </w:p>
    <w:p>
      <w:pPr>
        <w:spacing w:after="0" w:line="187"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February 2024, the Company completed a series of transactions to restructure its organization and business operations (the “Reorganization”). Specifically, Beijing HX, Guangzhou HX, Beijing YX, the VIEs and Nominee Stockholders of the VIEs entered into a series of agreements (the “VIE Reorganization Agreements”), pursuant to which, Guangzhou HX and Beijing YX acquired 100% net assets of the VIEs, from the Nominee Stockholders, at a consideration of nil, which is a transaction under common control. Upon completion of the Reorganization, the Company’s operations in Chinese mainland are conducted exclusively through its subsidiaries and the Company began to consolidate all the Group’s entities through its direct legal ownership.</w:t>
      </w:r>
    </w:p>
    <w:p>
      <w:pPr>
        <w:spacing w:after="0" w:line="18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financial information of the consolidated VIEs and the VIE’s subsidiaries as of December 31, 2024 and 2025 is not included as it has become inapplicable following the completion of the Reorganization.</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Prior to the Reorganization in February 2024, the WFOEs were considered the primary beneficiaries of the VIEs, and the financial results of operations of the VIEs and their subsidiaries were included in the Company’s consolidated financial statements for the year ended December 31, 2024. From January 1, 2024 to the completion date of Reorganization in February 2024, the VIEs were engaged in research and development activities without any revenue generated, and the related results of operations and cash flows of the VIEs were not material.</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  Liquidity</w:t>
      </w:r>
    </w:p>
    <w:p>
      <w:pPr>
        <w:spacing w:after="0" w:line="229"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The Group incurred net loss of $125.3 million, $275.0 million and $76.8 million for the years ended December 31, 2023, 2024 and 2025, respectively. Net cash used in operating activities was $115.4 million, $110.8 million and $165.0 million for the years ended December 31, 2023, 2024 and 2025, respectively. Accumulated deficit was $1,287.9 million and $1,422.0 million as of December 31, 2024 and 2025, respectively. The Group assesses its liquidity by its ability to generate cash from operating activities based on future commercialization of autonomous driving technology and attract investors’ investments. Historically, the Group has relied principally on non-operational sources of financing from investors to fund its operations and business development. The Group’s ability to continue as a going concern is dependent on management’s ability to successfully execute its business plan, which includes increasing revenues while controlling operating expenses, as well as, generating operational cash flows and continuing to gain support from outside sources of financing. As of December 31, 2024 and 2025, the Group had $536.0 million and $293.5 million of cash and cash equivalents, $209.0 million and $872.2 million of short-term investments, respectively. Based on the above considerations, the Group believes the cash and cash equivalents and short-term investments are sufficient to meet the cash requirements to fund planned operations and other commitments for at least the next twelve months from the issuance of the consolidated financial statements. The Company’s consolidated financial statements have been prepared on a going concern basis, which contemplates the realization of assets and liquidation of liabilities in the normal course of business.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(“U.S. GAAP”).</w:t>
      </w:r>
    </w:p>
    <w:p>
      <w:pPr>
        <w:spacing w:after="0" w:line="162"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Significant accounting policies followed by the Group in the preparation of its accompanying consolidated financial statements are summarized below.</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 Principles of consolidation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subsidiaries.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transactions and balances among the Company and its subsidiaries have been eliminated upon consolidation.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  Use of estimates</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accordance with U.S. GAAP requires management to make estimates and assumptions that affect the reported amounts of assets and liabilities, disclosure of contingent assets and liabilities at the date of the consolidated financial statements, and the reported amounts of income and expense during the reporting period. These management estimates include the fair value of share-based awards, fair value of debt investments in investees’ preferred shares and convertible bonds, fair value of trading securities, fair value of warrants liability, valuation allowance for deferred tax assets, allowance for doubtful accounts, useful lives of property and equipment, the discount rate for lease, the determination of the stand-alone selling price (“SSP”), impairment of long-lived assets, investment in equity investees and investment securities, and accretion of preferred shares. These estimates are based on information available as of the date of the consolidated financial statements, therefore, actual results could differ from those estimates.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 Cash and cash equivalents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Group considers all highly liquid investments with an original maturity of three months or less that are readily convertible to known amounts of cash and are subject to an insignificant risk of changes in value to be cash equivalents. Cash and cash equivalents are recorded at cost, which approximates the fair value.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  Restricted cash</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Cash and cash equivalents that are restricted as to withdrawal or for use or pledged as security are reported separately as restricted cash. The Group’s restricted cash mainly represents security deposits held in designated bank accounts for office lease contracts in the U.S. and for issuance of letter of guarantee.</w:t>
      </w:r>
    </w:p>
    <w:p>
      <w:pPr>
        <w:spacing w:after="0" w:line="172"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(f)</w:t>
      </w:r>
      <w:r>
        <w:rPr>
          <w:sz w:val="20"/>
          <w:szCs w:val="20"/>
          <w:color w:val="auto"/>
        </w:rPr>
        <w:tab/>
      </w:r>
      <w:r>
        <w:rPr>
          <w:rFonts w:ascii="Times New Roman" w:cs="Times New Roman" w:eastAsia="Times New Roman" w:hAnsi="Times New Roman"/>
          <w:sz w:val="17"/>
          <w:szCs w:val="17"/>
          <w:b w:val="1"/>
          <w:bCs w:val="1"/>
          <w:color w:val="auto"/>
        </w:rPr>
        <w:t>Investments in marketable debt securities</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Investments in marketable debt securities are recorded as investments under short-term investments and long-term investments on the consolidated balance sheets based on their remaining contractual maturities. Investments in marketable debt securities consist of asset-backed securities, commercial paper, corporate bonds, treasury bill, sovereign government securities, U.S. treasury securities, Yankee bonds as well as wealth management products. The Group determines the appropriate classification of investments at the time of purchase and re-evaluates such determination at each consolidated balance sheet date. Marketable debt securities are classified as available-for-sale as they do not meet the criteria of held-to-maturity or trading securities, and are carried at fair value on the consolidated balance sheets with unrealized gains and losses recorded in accumulated other comprehensive income (loss). Realized gains or losses on the sale of these securities are recognized under investment income on the consolidated statements of operations and comprehensive loss.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 </w:t>
      </w:r>
      <w:r>
        <w:rPr>
          <w:rFonts w:ascii="Times New Roman" w:cs="Times New Roman" w:eastAsia="Times New Roman" w:hAnsi="Times New Roman"/>
          <w:sz w:val="18"/>
          <w:szCs w:val="18"/>
          <w:color w:val="auto"/>
        </w:rPr>
        <w:t>continued</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 Investments in marketable debt securities -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Group evaluates each individual investment periodically for impairment. For investments where the Group does not intend to sell, the Group evaluates whether a decline in fair value is due to deterioration in credit risk. Credit-related impairment losses, not to exceed the amount that fair value is less than the amortized cost basis, are recognized through an allowance for credit losses on the consolidated balance sheets with corresponding adjustment on the consolidated statements of operations and comprehensive loss. Subsequent increases in fair value due to credit improvement are recognized through reversal of the credit losses and corresponding reduction in the allowance for credit losses. Any decline in fair value that is non-credit related is recorded in accumulated other comprehensive income (loss) as a component of shareholders’(deficit) equity. As of December 31, 2024 and 2025, there were no investments held by the Group that had been in continuous unrealized loss position.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 Short-term investments</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Short-term investments are mainly comprised of investments in marketable debt securities, equity investment with readily determinable fair values and term deposits and certificate of deposits.</w:t>
      </w:r>
    </w:p>
    <w:p>
      <w:pPr>
        <w:spacing w:after="0" w:line="162"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For investments in investees’ shares with readily determinable fair values, the fair value was determined using directly observable inputs in the market place. Whenever events or changes in circumstances indicate that the carrying value may no longer be observable, the fair value of aforementioned short-term investments was determined using models with significant unobservable inputs, primarily the management projection of discounted future cash flow and the discount rate. Investments with readily determinable fair values are carried at fair value, with unrealized holding gains and losses recognized in earnings. For periods prior to 2025, such changes were recorded in other income, net. The Company has retrospectively adjusted the presentation to report these amounts as changes in fair value of trading securities in the consolidated statements of operations and comprehensive loss for all periods presented, including for the years ended December 31, 2024 and 2025.</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(h) Long-term investments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Long-term investments are mainly comprised of investments in marketable debt securities, debt investments in investees’ preferred shares, equity investment without readily determinable fair values, equity method investments, term deposits and certificate of deposits and convertible bonds.</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For investments in investees’ shares and convertible bonds which are determined to be debt securities, the Group accounts for them as available-for-sale investments when they are not classified as either trading or held-to-maturity investments. Available-for-sale investments are reported at fair value, with unrealized gains and losses recorded in accumulated other comprehensive income (loss) as a component of shareholders’(deficit) equity.</w:t>
      </w:r>
    </w:p>
    <w:p>
      <w:pPr>
        <w:spacing w:after="0" w:line="180"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For investments in common stock or in-substance common stock issued by privately-held companies on which the Group does not have significant influence, as these equity security investments do not have readily determinable fair value, the Group measures these equity security investments at cost, less impairment, if any, plus or minus changes resulting from observable price changes in orderly transactions for the identical or a similar investment of the same issuer (referred to as the measurement alternative). All gains and losses on these equity securities without readily determinable fair value, realized and unrealized, are recognized in other income, net.</w:t>
      </w:r>
    </w:p>
    <w:p>
      <w:pPr>
        <w:spacing w:after="0" w:line="18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For investments in common stock or in-substance common stock of investee company, over which the Group can exercise significant influence, but does not have a controlling interest, the Group accounted for the investments using the equity method. Under the equity method, the Group initially records its investments at cost and subsequently recognizes the Group’s proportionate share of each equity investee’s net income or loss into the consolidated statements of operations and comprehensive loss accordingly. The Group reviews its equity method investments for impairment whenever an event or circumstance indicates that an other-than-temporary impairment has occurred. In evaluating potential impairment of its equity method investments, the Group considers available quantitative and qualitative evidence. An impairment charge is recorded when the carrying amount of the investment exceeds its fair value and this condition is determined to be other-than-temporary.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hanging="652"/>
        <w:spacing w:after="0"/>
        <w:tabs>
          <w:tab w:leader="none" w:pos="6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 </w:t>
      </w:r>
      <w:r>
        <w:rPr>
          <w:rFonts w:ascii="Times New Roman" w:cs="Times New Roman" w:eastAsia="Times New Roman" w:hAnsi="Times New Roman"/>
          <w:sz w:val="18"/>
          <w:szCs w:val="18"/>
          <w:color w:val="auto"/>
        </w:rPr>
        <w:t>continued</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and allowance for doubtful accounts</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Accounts receivable are recorded at the invoiced amount, net of allowance for doubtful accounts. The allowance for doubtful accounts is based on the Group’s assessment of the collectability of accounts.</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Group evaluates its accounts receivable for expected credit losses on a regular basis in accordance with ASU No. 2016-13 (Topic 326). The Group regularly reviews the adequacy of the allowance by considering factors, such as historical experience, credit quality, the age of the accounts receivable balances, and current economic conditions that may affect a customer’s ability to pay. The Group’s exposure to credit losses may increase if its customers are adversely affected by changes, such as economic pressures or uncertainty associated with local or global economic recessions, or other customer-specific factors.</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Accounts receivable deemed uncollectible are charged against the allowance for doubtful accounts when identified. As of December 31, 2024 and 2025, the allowance for doubtful accounts provided was not material.</w:t>
      </w:r>
    </w:p>
    <w:p>
      <w:pPr>
        <w:spacing w:after="0" w:line="158"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(j)</w:t>
      </w:r>
      <w:r>
        <w:rPr>
          <w:sz w:val="20"/>
          <w:szCs w:val="20"/>
          <w:color w:val="auto"/>
        </w:rPr>
        <w:tab/>
      </w:r>
      <w:r>
        <w:rPr>
          <w:rFonts w:ascii="Times New Roman" w:cs="Times New Roman" w:eastAsia="Times New Roman" w:hAnsi="Times New Roman"/>
          <w:sz w:val="17"/>
          <w:szCs w:val="17"/>
          <w:b w:val="1"/>
          <w:bCs w:val="1"/>
          <w:color w:val="auto"/>
        </w:rPr>
        <w:t>Property, equipment and software, net</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Property, equipment and software, net is stated at cost less accumulated depreciation, amortization and impairment, if any. Depreciation and amortization are computed using the straight-line method over the estimated useful lives of the assets. The estimated useful lives are as follows:</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120" w:type="dxa"/>
            <w:vAlign w:val="bottom"/>
          </w:tcPr>
          <w:p>
            <w:pPr>
              <w:spacing w:after="0"/>
              <w:rPr>
                <w:sz w:val="18"/>
                <w:szCs w:val="18"/>
                <w:color w:val="auto"/>
              </w:rPr>
            </w:pPr>
          </w:p>
        </w:tc>
      </w:tr>
      <w:tr>
        <w:trPr>
          <w:trHeight w:val="238"/>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44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Estimated Useful Lives</w:t>
            </w:r>
          </w:p>
        </w:tc>
      </w:tr>
      <w:tr>
        <w:trPr>
          <w:trHeight w:val="210"/>
        </w:trPr>
        <w:tc>
          <w:tcPr>
            <w:tcW w:w="4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equipment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4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 years</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Vehicle and equipment</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w:t>
            </w: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4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Shorter of lease term or estimated useful life of the asset</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4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4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w:t>
            </w: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w:t>
            </w:r>
          </w:p>
        </w:tc>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 years</w:t>
            </w:r>
          </w:p>
        </w:tc>
      </w:tr>
    </w:tbl>
    <w:p>
      <w:pPr>
        <w:spacing w:after="0" w:line="198"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Direct costs that are related to the construction of property, equipment and software and incurred in connection with bringing the assets to their intended use are capitalized as construction in progress. Construction in progress is transferred to specific property, equipment and software items and the depreciation of these assets commences when the assets are ready for their intended use. As of December 31, 2024 and 2025, construction in progress in the amount of $597 and $22,846, respectively, was primarily relating to the construction of leasehold improvements and assembly of autonomous vehicles.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(k) Impairment of long-lived assets</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Long-lived assets are evaluated for impairment whenever events or changes in circumstances (such as a significant adverse change to market conditions that will impact the future use of the assets) indicate that the carrying value of an asset may not be fully recoverable or that the useful life is shorter than the Group had originally estimated. When these events occur, the Group evaluates the impairment for the long-lived assets by comparing the carrying value of the assets to an estimate of future undiscounted cash flows expected to be generated from the use of the assets and their eventual disposition. If the sum of the expected future undiscounted cash flows is less than the carrying value of the assets, the Group recognizes an impairment loss based on the excess of the carrying value of the assets over the fair value of the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 </w:t>
      </w:r>
      <w:r>
        <w:rPr>
          <w:rFonts w:ascii="Times New Roman" w:cs="Times New Roman" w:eastAsia="Times New Roman" w:hAnsi="Times New Roman"/>
          <w:sz w:val="18"/>
          <w:szCs w:val="18"/>
          <w:color w:val="auto"/>
        </w:rPr>
        <w:t>continued</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Group adopted ASC Topic 606, “Revenue from Contracts with Customers” (ASC 606) for all years presented. According to ASC 606, revenues are recognized when control of the promised goods or services is transferred to the customers, in an amount that reflects the consideration the Group expects to be entitled to in exchange for those goods or services. Revenues are recorded net of discounts, value-added taxes and surcharges.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determines revenue recognition through the following steps:</w:t>
      </w:r>
    </w:p>
    <w:p>
      <w:pPr>
        <w:spacing w:after="0" w:line="225" w:lineRule="exact"/>
        <w:rPr>
          <w:sz w:val="20"/>
          <w:szCs w:val="20"/>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 including the constraint on variable consideration;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Group satisfies a performance obligation.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disaggregated by nature for the years ended December 31, 2023, 2024 and 2025 consist of the following:</w:t>
      </w:r>
    </w:p>
    <w:p>
      <w:pPr>
        <w:spacing w:after="0" w:line="232"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5880" w:type="dxa"/>
            <w:vAlign w:val="bottom"/>
            <w:gridSpan w:val="2"/>
          </w:tcPr>
          <w:p>
            <w:pPr>
              <w:ind w:left="5780"/>
              <w:spacing w:after="0" w:line="142" w:lineRule="exact"/>
              <w:rPr>
                <w:sz w:val="20"/>
                <w:szCs w:val="20"/>
                <w:color w:val="auto"/>
              </w:rPr>
            </w:pPr>
            <w:r>
              <w:rPr>
                <w:rFonts w:ascii="Times New Roman" w:cs="Times New Roman" w:eastAsia="Times New Roman" w:hAnsi="Times New Roman"/>
                <w:sz w:val="14"/>
                <w:szCs w:val="14"/>
                <w:b w:val="1"/>
                <w:bCs w:val="1"/>
                <w:color w:val="231F20"/>
              </w:rPr>
              <w:t>​​​</w:t>
            </w:r>
          </w:p>
        </w:tc>
        <w:tc>
          <w:tcPr>
            <w:tcW w:w="820" w:type="dxa"/>
            <w:vAlign w:val="bottom"/>
            <w:tcBorders>
              <w:top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231F20"/>
              </w:rPr>
              <w:t>2023</w:t>
            </w:r>
          </w:p>
        </w:tc>
        <w:tc>
          <w:tcPr>
            <w:tcW w:w="88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231F20"/>
              </w:rPr>
              <w:t>​​​   2024</w:t>
            </w:r>
          </w:p>
        </w:tc>
        <w:tc>
          <w:tcPr>
            <w:tcW w:w="32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231F20"/>
              </w:rPr>
              <w:t>​​​</w:t>
            </w:r>
          </w:p>
        </w:tc>
        <w:tc>
          <w:tcPr>
            <w:tcW w:w="720" w:type="dxa"/>
            <w:vAlign w:val="bottom"/>
            <w:tcBorders>
              <w:top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Engineering solution services</w:t>
            </w:r>
          </w:p>
        </w:tc>
        <w:tc>
          <w:tcPr>
            <w:tcW w:w="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40,634</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27,984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231F20"/>
              </w:rPr>
              <w:t>16,515</w:t>
            </w:r>
          </w:p>
        </w:tc>
      </w:tr>
      <w:tr>
        <w:trPr>
          <w:trHeight w:val="216"/>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Virtual driver operation and other related services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23,912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39,431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231F20"/>
              </w:rPr>
              <w:t>40,199</w:t>
            </w: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Service revenues</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64,546</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67,415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231F20"/>
              </w:rPr>
              <w:t>56,714</w:t>
            </w:r>
          </w:p>
        </w:tc>
      </w:tr>
      <w:tr>
        <w:trPr>
          <w:trHeight w:val="210"/>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231F20"/>
              </w:rPr>
              <w:t>Sales of products</w:t>
            </w:r>
          </w:p>
        </w:tc>
        <w:tc>
          <w:tcPr>
            <w:tcW w:w="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7,353</w:t>
            </w: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7,610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231F20"/>
              </w:rPr>
              <w:t>33,287</w:t>
            </w:r>
          </w:p>
        </w:tc>
      </w:tr>
      <w:tr>
        <w:trPr>
          <w:trHeight w:val="210"/>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71,899</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75,025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231F20"/>
              </w:rPr>
              <w:t>90,001</w:t>
            </w:r>
          </w:p>
        </w:tc>
      </w:tr>
      <w:tr>
        <w:trPr>
          <w:trHeight w:val="20"/>
        </w:trPr>
        <w:tc>
          <w:tcPr>
            <w:tcW w:w="5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Revenues disaggregated by timing of revenue recognition for the years ended December 31, 2023, 2024 and 2025 consist of the following:</w:t>
      </w:r>
    </w:p>
    <w:p>
      <w:pPr>
        <w:spacing w:after="0" w:line="16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6080" w:type="dxa"/>
            <w:vAlign w:val="bottom"/>
            <w:gridSpan w:val="2"/>
          </w:tcPr>
          <w:p>
            <w:pPr>
              <w:ind w:left="59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2024</w:t>
            </w:r>
          </w:p>
        </w:tc>
        <w:tc>
          <w:tcPr>
            <w:tcW w:w="920" w:type="dxa"/>
            <w:vAlign w:val="bottom"/>
            <w:tcBorders>
              <w:top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2025</w:t>
            </w: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 point in time</w:t>
            </w:r>
          </w:p>
        </w:tc>
        <w:tc>
          <w:tcPr>
            <w:tcW w:w="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46,600</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31,551</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44,794</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Overtime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43,474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45,207</w:t>
            </w:r>
          </w:p>
        </w:tc>
      </w:tr>
      <w:tr>
        <w:trPr>
          <w:trHeight w:val="210"/>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90,001</w:t>
            </w:r>
          </w:p>
        </w:tc>
      </w:tr>
      <w:tr>
        <w:trPr>
          <w:trHeight w:val="20"/>
        </w:trPr>
        <w:tc>
          <w:tcPr>
            <w:tcW w:w="6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description of the accounting policy for the principal revenues by nature of the Group.</w:t>
      </w:r>
    </w:p>
    <w:p>
      <w:pPr>
        <w:spacing w:after="0" w:line="225" w:lineRule="exact"/>
        <w:rPr>
          <w:sz w:val="20"/>
          <w:szCs w:val="20"/>
          <w:color w:val="auto"/>
        </w:rPr>
      </w:pPr>
    </w:p>
    <w:p>
      <w:pPr>
        <w:ind w:left="980" w:hanging="324"/>
        <w:spacing w:after="0"/>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solution services</w:t>
      </w:r>
    </w:p>
    <w:p>
      <w:pPr>
        <w:spacing w:after="0" w:line="22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Group derives revenues from providing integrated solutions in relation to autonomous driving to original equipment manufacturers and other industry participants. The Group’s engineering solution contracts with customers often include obligations to transfer multiple products and services to a customer. In contracts with multiple deliverables, the Group identifies each performance obligation and evaluates whether the promised goods or services are distinct within the context of the contract at contract inception. Promised goods or services that are not distinct at contract inception are consolidated. The transaction price is generally in the form of a fixed fee at contract inception, and excludes taxes assessed by a governmental authority that are both imposed on and concurrent with a specific revenue-producing transaction, that are collected by the Group from a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hanging="652"/>
        <w:spacing w:after="0"/>
        <w:tabs>
          <w:tab w:leader="none" w:pos="66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 </w:t>
      </w:r>
      <w:r>
        <w:rPr>
          <w:rFonts w:ascii="Times New Roman" w:cs="Times New Roman" w:eastAsia="Times New Roman" w:hAnsi="Times New Roman"/>
          <w:sz w:val="18"/>
          <w:szCs w:val="18"/>
          <w:color w:val="auto"/>
        </w:rPr>
        <w:t>continued</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980" w:hanging="324"/>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solution services - continued</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Group allocates the transaction price to each distinct performance obligation based on the estimated SSP for each performance obligation. Judgment is required to determine the SSP for each distinct performance obligation. In instances where the SSP is not directly observable, such as when the Group does not sell the products or services separately, the Group estimates the SSP of each performance obligation based on an adjusted market assessment approach.</w:t>
      </w:r>
    </w:p>
    <w:p>
      <w:pPr>
        <w:spacing w:after="0" w:line="180"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Revenues from engineering solution primarily consist of integrated retrofitting services, preparation assistance services for the autonomous driving test, road-testing services, and development services. For the integrated retrofitting services, the Group may provide products as inputs to deliver the combined output of autonomous services as specified by customers. The revenues from integrated retrofitting services, the preparation assistance services for the autonomous driving test, road-testing services and software development services are recognized when control of the services is transferred to customers, which generally occurs when the Group delivers the services and the substantive customer acceptance is received (“point in time”).</w:t>
      </w:r>
    </w:p>
    <w:p>
      <w:pPr>
        <w:spacing w:after="0" w:line="187"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7"/>
          <w:szCs w:val="17"/>
          <w:color w:val="auto"/>
        </w:rPr>
        <w:t>Virtual driver operation and other related services</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Group’s virtual driver operation and other related services revenues are primarily generated from the operation of the robotaxi services, robotruck logistics services and software licensing.</w:t>
      </w:r>
    </w:p>
    <w:p>
      <w:pPr>
        <w:spacing w:after="0" w:line="16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For robotaxi services, the Group is obliged to provide ride-hailing services, with agreed upon destination, to riders as a principal through its robotaxis. The customers are individual passengers. The Group charges service fees calculated by trip mileage. There is only one performance obligation identified for each contract, the taxi service. The robotaxi service revenues are recognized over time as the Group provides the taxi services. For the contracts with customers where promotional discounts are provided to riders, the discounts are netted against revenues. The associated cost of revenues incurred primarily comprised of fuel costs, depreciation of robotaxis, labor costs and other costs directly attributable to providing the robotaxi services.</w:t>
      </w:r>
    </w:p>
    <w:p>
      <w:pPr>
        <w:spacing w:after="0" w:line="187"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For robotruck logistics services, the Group is obliged to provide freight transportation services, with agreed upon destination, to the customers as a principal through its robotruck fleets. The customers are corporate entities and the Group charges fixed service fees determined by mileage and by tonnage. There is only one performance obligation identified for each contract, the freight transportation services. The Group recognizes revenues over time as it performs services in the contract because the customers receive the benefit of the services as goods are transported from one location to another. If the Group were unable to complete delivery to the destination, another entity would not need to re-perform the transportation services already performed. As control transfers over time, revenues are recognized based on the extent of progress towards completion of the performance obligation. The selection of the method to measure progress towards completion requires judgment and is based on the nature of the products or services to be provided. Management estimates the progress based on mileage completed to total mileage to be transported. It normally takes only one to three days for the Group to complete the performance obligation. The associated cost of revenues incurred primarily comprised of fuel costs, tolls, insurance costs, depreciation of property and equipment, labor costs and other costs directly attributable to providing the robotruck logistics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hanging="652"/>
        <w:spacing w:after="0"/>
        <w:tabs>
          <w:tab w:leader="none" w:pos="66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 </w:t>
      </w:r>
      <w:r>
        <w:rPr>
          <w:rFonts w:ascii="Times New Roman" w:cs="Times New Roman" w:eastAsia="Times New Roman" w:hAnsi="Times New Roman"/>
          <w:sz w:val="18"/>
          <w:szCs w:val="18"/>
          <w:color w:val="auto"/>
        </w:rPr>
        <w:t>continued</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7"/>
          <w:szCs w:val="17"/>
          <w:color w:val="auto"/>
        </w:rPr>
        <w:t>Virtual driver operation and other related services - continued</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Software licensing revenues are generally recognized over time as the functionality of the software is expected to substantively change, and the Group is obligated to update the software to latest version of the software during the service period.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iii) Sales of products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Group sells autonomous driving related products directly to customers. Revenues from the sales of products are recognized when control of the goods is transferred to customers, which generally occurs when the products are delivered and accepted by the customers.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Contract assets relate to the Group’s right to consideration for performance obligations satisfied but not billed and consist of unbilled receivables and costs in excess of billings. Contract liabilities relate to customer payments received in advance of satisfaction of performance obligations under the contract which is presented in accounts payable and other current liabilities. Contract balances are classified as assets or liabilities on a contract-by-contract basis at the end of each reporting period. There are no contract assets as of December 31, 2025. Revenues recognized for the years ended December 31, 2023, 2024 and 2025 from performance obligations related to prior years were not material.</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Practical expedients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has used the following practical expedients as allowed under ASC 606:</w:t>
      </w:r>
    </w:p>
    <w:p>
      <w:pPr>
        <w:spacing w:after="0" w:line="225" w:lineRule="exact"/>
        <w:rPr>
          <w:sz w:val="20"/>
          <w:szCs w:val="20"/>
          <w:color w:val="auto"/>
        </w:rPr>
      </w:pPr>
    </w:p>
    <w:p>
      <w:pPr>
        <w:ind w:left="1000" w:right="20" w:hanging="317"/>
        <w:spacing w:after="0" w:line="282" w:lineRule="auto"/>
        <w:tabs>
          <w:tab w:leader="none" w:pos="10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 allocated to performance obligations that are unsatisfied or partially unsatisfied has not been disclosed, as substantially all of the Group’s contracts have a duration of one year or less.</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terms and conditions vary by contract type, although terms generally include a requirement of prepayment or payment within one year or less. In instances where the timing of revenue recognition differs from the timing of invoicing, the Group has determined that its contracts generally do not include a significant financing component.</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 of revenues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Cost of revenues consists of expenses relating to salaries and benefits of supporting engineers and other direct supporting personnel, materials and supplies, depreciation of fixed assets, and other costs incurred to directly support the fulfillment of the revenue contracts, such as rental expenses, bandwidth and data center expenditures.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 Research and development expenses (“R&amp;D expenses”)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R&amp;D expenses consist primarily of (i) personnel costs representing salaries, benefits, share-based compensation, and bonuses for R&amp;D personnel; (ii) direct input of materials and supplies expenses in relation to R&amp;D; and (iii) certain other expenses, such as office rental expenses, bandwidth and data center expenditures, utilities, depreciation of equipment and other expenses incurred in R&amp;D.</w:t>
      </w:r>
    </w:p>
    <w:p>
      <w:pPr>
        <w:spacing w:after="0" w:line="178"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 xml:space="preserve">The Group follows the provisions of ASC 985, </w:t>
      </w:r>
      <w:r>
        <w:rPr>
          <w:rFonts w:ascii="Times New Roman" w:cs="Times New Roman" w:eastAsia="Times New Roman" w:hAnsi="Times New Roman"/>
          <w:sz w:val="18"/>
          <w:szCs w:val="18"/>
          <w:i w:val="1"/>
          <w:iCs w:val="1"/>
          <w:color w:val="auto"/>
        </w:rPr>
        <w:t>Accounting for the Costs of Computer Software to Be Sold, Leased, or Otherwise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Marketed</w:t>
      </w:r>
      <w:r>
        <w:rPr>
          <w:rFonts w:ascii="Times New Roman" w:cs="Times New Roman" w:eastAsia="Times New Roman" w:hAnsi="Times New Roman"/>
          <w:sz w:val="18"/>
          <w:szCs w:val="18"/>
          <w:color w:val="auto"/>
        </w:rPr>
        <w:t>, which requires that software development costs incurred in conjunction with development be charged to R&amp;D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until technological feasibility is established. The technological feasibility is established upon completion of a working model. The costs incurred by the Group between technological feasibility and general release to the public have been insignificant. Accordingly, all R&amp;D costs have been expensed as incurred.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hanging="652"/>
        <w:spacing w:after="0"/>
        <w:tabs>
          <w:tab w:leader="none" w:pos="66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 </w:t>
      </w:r>
      <w:r>
        <w:rPr>
          <w:rFonts w:ascii="Times New Roman" w:cs="Times New Roman" w:eastAsia="Times New Roman" w:hAnsi="Times New Roman"/>
          <w:sz w:val="18"/>
          <w:szCs w:val="18"/>
          <w:color w:val="auto"/>
        </w:rPr>
        <w:t>continued</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(i) personnel costs representing salaries, benefits, share-based compensation, and bonuses for the general and administrative personnel; (ii) professional services expenses; and (iii) certain operating expenses, such as office rental expenses, utilities and other expenses necessary to support the Group’s business.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 Leases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accordance with ASC Topic 842, Leases (“ASC 842”), the Group uses the modified retrospective transition approach through a cumulative-effect adjustment in the period of adoption rather than retrospectively adjusting prior periods. The Group classified its leases as operating or finance leases in accordance with the recognition criteria in ASC 842-20-25.</w:t>
      </w:r>
    </w:p>
    <w:p>
      <w:pPr>
        <w:spacing w:after="0" w:line="17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Group recorded the leases of office spaces and warehouses as operating leases in different cities in the Chinese mainland and other overseas regions. The Group begins recognizing rent expenses when the lessor makes the underlying assets available to the Group. The Group’s leases have remaining lease terms of up to eight years, some of which include options to extend the leases for an additional period which has to be agreed with the lessors based on mutual negotiation. After considering the factors that create an economic incentive, the Group did not include renewal option periods in the lease term for which it is not reasonably certain to exercise. For short-term leases with lease term less than one year, the Group records operating lease expenses on the consolidated statements of operations and comprehensive loss on a straight- line basis over the lease term and records variable lease payments as incurred.</w:t>
      </w:r>
    </w:p>
    <w:p>
      <w:pPr>
        <w:spacing w:after="0" w:line="192"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Group recorded the leases of logistics vehicles and containers as finance leases as the lease terms cover majority of the remaining economic life of the underlying assets. The Group determines whether an arrangement constitutes a lease and records lease liabilities and right-of-use assets on the consolidated balance sheets at the lease commencement. The Group measures its lease liabilities based on the present value of the total lease payments not yet paid discounted based on the more readily determinable of the rate implicit in the lease or its incremental borrowing rate, which is the estimated rate the Group would be required to pay for a collateralized borrowing equal to the total lease payments over the term of the lease. The Group estimates its incremental borrowing rate based on an analysis of publicly traded debt securities of companies with credit and financial profiles similar to its own. The Group measures right-of-use assets based on the corresponding lease liabilities adjusted for payments made to the lessor at or before the commencement date, and initial direct costs it incurs under the lease.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(q) Share-based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Share-based awards granted are measured at fair value on grant date and share-based compensation expenses are recognized</w:t>
      </w:r>
    </w:p>
    <w:p>
      <w:pPr>
        <w:spacing w:after="0" w:line="27" w:lineRule="exact"/>
        <w:rPr>
          <w:sz w:val="20"/>
          <w:szCs w:val="20"/>
          <w:color w:val="auto"/>
        </w:rPr>
      </w:pPr>
    </w:p>
    <w:p>
      <w:pPr>
        <w:jc w:val="both"/>
        <w:ind w:left="660" w:hanging="4"/>
        <w:spacing w:after="0" w:line="252" w:lineRule="auto"/>
        <w:tabs>
          <w:tab w:leader="none" w:pos="90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awards granted with only service condition, using the straight-line attribution method, net of actual forfeitures as they occur, over the vesting period; (b) for the awards granted with service condition and performance condition, the share-based compensation expenses are recorded when the performance condition is considered probable using the graded vesting method. Where the occurrence of IPO is a performance condition, cumulative share-based compensation expenses for the awards that have satisfied the service condition should be recorded upon the occurrence of an IPO. The IPO was completed in November 2024 and the share awards for which the service condition had been met became vested. The remaining share awards will be vested as the service conditions are met.</w:t>
      </w:r>
    </w:p>
    <w:p>
      <w:pPr>
        <w:spacing w:after="0" w:line="18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Group selected the Black-Scholes option-pricing model as the method for determining the estimated fair value for share options. The Black-Scholes option-pricing model requires the use of highly subjective and complex assumptions, which determine the fair value of share-based awards, including the share option’s expected term, the price volatility of the underlying stock, risk-free interest rate and expected dividend yield.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 </w:t>
      </w:r>
      <w:r>
        <w:rPr>
          <w:rFonts w:ascii="Times New Roman" w:cs="Times New Roman" w:eastAsia="Times New Roman" w:hAnsi="Times New Roman"/>
          <w:sz w:val="18"/>
          <w:szCs w:val="18"/>
          <w:color w:val="auto"/>
        </w:rPr>
        <w:t>continued</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defined contribution plan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Chinese mainland Contribution Plan</w:t>
      </w:r>
    </w:p>
    <w:p>
      <w:pPr>
        <w:spacing w:after="0" w:line="22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Full-time employees of the Group in the Chinese mainland participate in a government-mandated multiemployer defined contribution plan pursuant to which certain pension benefits, medical care, unemployment insurance, employee housing fund, and other welfare benefits are provided to employees. Chinese labor regulations require that the Group makes contributions to the government for these benefits based on certain percentages of the employees’ salaries. The Group has no legal obligation for the benefits beyond the contributions. Total amounts for such employee benefits, which were expensed as incurred, were $13.2 million, $14.6 million and $17.5 million for the years ended December 31, 2023, 2024 and 2025, respectively.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  Income taxes</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Current income taxes are provided on the basis of net income for financial reporting purposes, adjusted for income and expense items which are not assessable or deductible for income tax purposes, in accordance with the regulations of the relevant tax jurisdictions.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w:t>
      </w:r>
    </w:p>
    <w:p>
      <w:pPr>
        <w:spacing w:after="0" w:line="18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Group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As of December 31, 2024 and 2025, the Group did not have any significant unrecognized uncertain tax positions.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recognizes interest and penalties related to income tax matters as a component of income tax expenses.</w:t>
      </w:r>
    </w:p>
    <w:p>
      <w:pPr>
        <w:spacing w:after="0" w:line="221"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(t)</w:t>
      </w:r>
      <w:r>
        <w:rPr>
          <w:sz w:val="20"/>
          <w:szCs w:val="20"/>
          <w:color w:val="auto"/>
        </w:rPr>
        <w:tab/>
      </w:r>
      <w:r>
        <w:rPr>
          <w:rFonts w:ascii="Times New Roman" w:cs="Times New Roman" w:eastAsia="Times New Roman" w:hAnsi="Times New Roman"/>
          <w:sz w:val="17"/>
          <w:szCs w:val="17"/>
          <w:b w:val="1"/>
          <w:bCs w:val="1"/>
          <w:color w:val="auto"/>
        </w:rPr>
        <w:t>Chinese mainland Value-added tax (“VAT”)</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Group’s subsidiaries, the consolidated VIEs and the VIEs’ subsidiaries incorporated in Chinese mainland are subject to statutory VAT rate of 6% and 9% for services rendered and 13% for goods sold.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(u) Fair value measurements</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Fair value accounting is applied for all assets and liabilities and nonfinancial assets and liabilities that are recognized or disclosed at fair value in the consolidated financial statements on a recurring basis (at least annually). Fair value is defined as the price that would be received to sell an asset or paid to transfer a liability in an orderly transaction between market participants at the measurement date.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189" w:lineRule="exact"/>
        <w:rPr>
          <w:sz w:val="20"/>
          <w:szCs w:val="20"/>
          <w:color w:val="auto"/>
        </w:rPr>
      </w:pPr>
    </w:p>
    <w:p>
      <w:pPr>
        <w:ind w:left="1000" w:right="20" w:hanging="317"/>
        <w:spacing w:after="0" w:line="261"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quoted prices (unadjusted) in active markets for identical assets or liabilities that the Group has the ability to access at the measurement date.</w:t>
      </w:r>
    </w:p>
    <w:p>
      <w:pPr>
        <w:jc w:val="both"/>
        <w:ind w:left="1000" w:hanging="317"/>
        <w:spacing w:after="0" w:line="250"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are other-than-quoted prices included within Level 1 that are observable for the asset or liability, either directly or indirectly. Level 2 inputs include quoted prices for similar assets or liabilities in active markets, quoted prices for identical or similar assets or liabilities in markets that are not active, inputs other than quoted prices that are observable for the asset or liability, or inputs that are derived principally from or corroborated by observable market data.</w:t>
      </w:r>
    </w:p>
    <w:p>
      <w:pPr>
        <w:spacing w:after="0" w:line="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unobservable inputs for the asset or liability.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 </w:t>
      </w:r>
      <w:r>
        <w:rPr>
          <w:rFonts w:ascii="Times New Roman" w:cs="Times New Roman" w:eastAsia="Times New Roman" w:hAnsi="Times New Roman"/>
          <w:sz w:val="18"/>
          <w:szCs w:val="18"/>
          <w:color w:val="auto"/>
        </w:rPr>
        <w:t>continued</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Fair value measurements –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Accounting guidance also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87"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 The fair values of the Group’s investments are based upon prices provided by an independent source. The Group has reviewed these prices for reasonableness and has not adjusted any prices received from the independent provider. Securities reported at fair value utilizing Level 1 inputs represent assets whose fair value is determined based upon observable unadjusted quoted market prices for identical assets in active markets. Level 2 securities represent assets whose fair value is determined using observable market information, such as previous day trade prices, quotes from less active markets, or quoted prices of securities with similar characteristics. There were no transfers between Level 1, Level 2 and Level 3 investments during the years ended December 31, 2023, 2024 and 2025. The carrying amounts of accounts receivable, amounts due from related parties, current and accounts payable and amounts due to related parties, current approximates the fair value because of their short-term nature.</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(v) Foreign currency</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 xml:space="preserve">The Group’s reporting currency and functional currency is the U.S. dollar. The Group determines its functional currencies based on the criteria of Accounting Standards Codification (ASC) 830, </w:t>
      </w:r>
      <w:r>
        <w:rPr>
          <w:rFonts w:ascii="Times New Roman" w:cs="Times New Roman" w:eastAsia="Times New Roman" w:hAnsi="Times New Roman"/>
          <w:sz w:val="18"/>
          <w:szCs w:val="18"/>
          <w:i w:val="1"/>
          <w:iCs w:val="1"/>
          <w:color w:val="auto"/>
        </w:rPr>
        <w:t>Foreign Currency Matters</w:t>
      </w:r>
      <w:r>
        <w:rPr>
          <w:rFonts w:ascii="Times New Roman" w:cs="Times New Roman" w:eastAsia="Times New Roman" w:hAnsi="Times New Roman"/>
          <w:sz w:val="18"/>
          <w:szCs w:val="18"/>
          <w:color w:val="auto"/>
        </w:rPr>
        <w:t>. The functional currency of the Company’s subsidiaries in the United States and Hong Kong, China is the U.S. dollar. The functional currencies of its subsidiaries, the VIEs, and the VIEs’ subsidiaries in Chinese mainland are the Renminbi (“RMB”). The Group uses the monthly average exchange rate for the year and the exchange rate at the consolidated balance sheet date to translate the operating results and financial position, respectively. Equity accounts are translated at historical exchange rates. Translation differences are recorded in accumulated other comprehensive income (loss), as a component of shareholders’ (deficit) equity.</w:t>
      </w:r>
    </w:p>
    <w:p>
      <w:pPr>
        <w:spacing w:after="0" w:line="18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Transactions denominated in foreign currencies are remeasured into the functional currency at the exchange rates prevailing on the transaction dates. Financial assets and liabilities denominated in foreign currencies are remeasured into the functional currency at the exchange rates prevailing at the consolidated balance sheet date. The Group reflects net foreign exchange transaction gains and losses resulting from the conversion of the foreign currencies to functional currency included in other income, net.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 Comprehensive income (loss)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Comprehensive income (loss) is defined as the changes in equity of the Company during a period from transactions and other events and circumstances excluding transactions resulting from investments from shareholders and distributions to shareholders. Comprehensive income (loss) for the periods presented includes net loss, change in foreign currency translation adjustments and unrealized gain (loss) on available-for-sale investments.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(x) Non-controlling interests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entities in which the Company has a controlling financial interest. Earnings or losses attributable to minority shareholders of the consolidated affiliated companies are classified separately as “non-controlling interests” in the consolidated statements of operations and comprehensive loss.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hanging="652"/>
        <w:spacing w:after="0"/>
        <w:tabs>
          <w:tab w:leader="none" w:pos="6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 </w:t>
      </w:r>
      <w:r>
        <w:rPr>
          <w:rFonts w:ascii="Times New Roman" w:cs="Times New Roman" w:eastAsia="Times New Roman" w:hAnsi="Times New Roman"/>
          <w:sz w:val="18"/>
          <w:szCs w:val="18"/>
          <w:color w:val="auto"/>
        </w:rPr>
        <w:t>continued</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Net loss per share is computed in accordance with ASC 260, “Earnings per Share”. The two-class method is used for computing earnings per share in the event the Group has net income available for distribution. Under the two-class method, net income is allocated between ordinary shares and other participating securities based on their participating rights. Class A ordinary shares and Class B ordinary shares have the same rights in dividend. Therefore, basic and diluted loss per share is the same for both classes of ordinary shares. The Group’s Preferred Shares are considered as participating securities because they are entitled to receive dividends or distributions on an as if converted basis if the Group has net income available for distribution under certain circumstances. Net losses are not allocated to other participating securities as they are not obligated to share the losses based on their contractual terms.</w:t>
      </w:r>
    </w:p>
    <w:p>
      <w:pPr>
        <w:spacing w:after="0" w:line="192"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Basic net loss per share is computed by dividing net loss attributable to ordinary shareholders by the weighted average number of ordinary shares outstanding during the year. Diluted net loss per share is calculated by dividing net loss attributable to ordinary shareholders, as adjusted for the effect of dilutive ordinary equivalent shares, if any, by the weighted average number of ordinary and dilutive ordinary equivalent shares outstanding during the year. Ordinary equivalent shares consist of ordinary shares issuable upon the conversion of the Preferred Shares using as-if- converted method and ordinary shares issuable upon the exercise and settlement of share options and RSUs using the treasury stock method. Ordinary equivalent shares are not included in the denominator of the diluted net loss per share calculation when inclusion of such share would be anti-dilutive.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(z)  Segment reporting</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Based on the criteria established by ASC 280, operating segments are defined as components of an enterprise (business activity from which it earns revenues and incurs expenses) for which discrete financial information is available and regularly reviewed by the chief operating decision maker (“CODM”) in deciding how to allocate resources and in assessing performance. The Group’s CODM has been identified as its Chief Executive Officer, who reviews consolidated results when making decisions about resource allocation and performance evaluation of the Group as a whole and does not distinguish between markets or segments. Therefore, the Group has only one reportable segment. Accordingly, the CODM uses the consolidated net loss to measure segment profit or loss, allocate resources, and assess performance. The CODM is regularly provided with the consolidated expenses as noted on the face of the consolidated statements of operations and comprehensive loss and uses net loss to monitor budget versus actual results when making decisions about the allocation of operating and capital resources.</w:t>
      </w:r>
    </w:p>
    <w:p>
      <w:pPr>
        <w:spacing w:after="0" w:line="18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assets of the Group are held in the Chinese mainland and other overseas regions. The long-lived assets as of December 31, 2024 and 2025, are as follows:</w:t>
      </w:r>
    </w:p>
    <w:p>
      <w:pPr>
        <w:spacing w:after="0" w:line="16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6680" w:type="dxa"/>
            <w:vAlign w:val="bottom"/>
            <w:gridSpan w:val="2"/>
          </w:tcPr>
          <w:p>
            <w:pPr>
              <w:ind w:left="6560"/>
              <w:spacing w:after="0" w:line="142" w:lineRule="exact"/>
              <w:rPr>
                <w:sz w:val="20"/>
                <w:szCs w:val="20"/>
                <w:color w:val="auto"/>
              </w:rPr>
            </w:pPr>
            <w:r>
              <w:rPr>
                <w:rFonts w:ascii="Times New Roman" w:cs="Times New Roman" w:eastAsia="Times New Roman" w:hAnsi="Times New Roman"/>
                <w:sz w:val="14"/>
                <w:szCs w:val="14"/>
                <w:color w:val="231F20"/>
              </w:rPr>
              <w:t>​​​</w:t>
            </w:r>
          </w:p>
        </w:tc>
        <w:tc>
          <w:tcPr>
            <w:tcW w:w="920" w:type="dxa"/>
            <w:vAlign w:val="bottom"/>
            <w:tcBorders>
              <w:top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231F20"/>
              </w:rPr>
              <w:t>2024</w:t>
            </w:r>
          </w:p>
        </w:tc>
        <w:tc>
          <w:tcPr>
            <w:tcW w:w="32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231F20"/>
              </w:rPr>
              <w:t>​​​</w:t>
            </w:r>
          </w:p>
        </w:tc>
        <w:tc>
          <w:tcPr>
            <w:tcW w:w="70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231F20"/>
              </w:rPr>
              <w:t>2025</w:t>
            </w: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Chinese mainland</w:t>
            </w: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28,633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73,142</w:t>
            </w: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Other overseas regions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1,950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2,136</w:t>
            </w:r>
          </w:p>
        </w:tc>
      </w:tr>
      <w:tr>
        <w:trPr>
          <w:trHeight w:val="210"/>
        </w:trPr>
        <w:tc>
          <w:tcPr>
            <w:tcW w:w="6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30,583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75,278</w:t>
            </w:r>
          </w:p>
        </w:tc>
      </w:tr>
      <w:tr>
        <w:trPr>
          <w:trHeight w:val="20"/>
        </w:trPr>
        <w:tc>
          <w:tcPr>
            <w:tcW w:w="6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the Group’s total revenues by geographic area of operating entities are as follows:</w:t>
      </w:r>
    </w:p>
    <w:p>
      <w:pPr>
        <w:spacing w:after="0" w:line="16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5880" w:type="dxa"/>
            <w:vAlign w:val="bottom"/>
            <w:gridSpan w:val="2"/>
          </w:tcPr>
          <w:p>
            <w:pPr>
              <w:ind w:left="5780"/>
              <w:spacing w:after="0" w:line="142" w:lineRule="exact"/>
              <w:rPr>
                <w:sz w:val="20"/>
                <w:szCs w:val="20"/>
                <w:color w:val="auto"/>
              </w:rPr>
            </w:pPr>
            <w:r>
              <w:rPr>
                <w:rFonts w:ascii="Times New Roman" w:cs="Times New Roman" w:eastAsia="Times New Roman" w:hAnsi="Times New Roman"/>
                <w:sz w:val="14"/>
                <w:szCs w:val="14"/>
                <w:color w:val="231F20"/>
              </w:rPr>
              <w:t>​​​</w:t>
            </w:r>
          </w:p>
        </w:tc>
        <w:tc>
          <w:tcPr>
            <w:tcW w:w="820" w:type="dxa"/>
            <w:vAlign w:val="bottom"/>
            <w:tcBorders>
              <w:top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231F20"/>
              </w:rPr>
              <w:t>2023</w:t>
            </w:r>
          </w:p>
        </w:tc>
        <w:tc>
          <w:tcPr>
            <w:tcW w:w="32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231F20"/>
              </w:rPr>
              <w:t>​​​</w:t>
            </w:r>
          </w:p>
        </w:tc>
        <w:tc>
          <w:tcPr>
            <w:tcW w:w="70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231F20"/>
              </w:rPr>
              <w:t>2024</w:t>
            </w:r>
          </w:p>
        </w:tc>
        <w:tc>
          <w:tcPr>
            <w:tcW w:w="90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b w:val="1"/>
                <w:bCs w:val="1"/>
                <w:color w:val="231F20"/>
              </w:rPr>
              <w:t>2025</w:t>
            </w:r>
          </w:p>
        </w:tc>
      </w:tr>
      <w:tr>
        <w:trPr>
          <w:trHeight w:val="209"/>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Chinese mainland</w:t>
            </w:r>
          </w:p>
        </w:tc>
        <w:tc>
          <w:tcPr>
            <w:tcW w:w="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71,578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74,421</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87,564</w:t>
            </w:r>
          </w:p>
        </w:tc>
      </w:tr>
      <w:tr>
        <w:trPr>
          <w:trHeight w:val="216"/>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Other overseas regions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604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2,437</w:t>
            </w:r>
          </w:p>
        </w:tc>
      </w:tr>
      <w:tr>
        <w:trPr>
          <w:trHeight w:val="210"/>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71,899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75,025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90,001</w:t>
            </w:r>
          </w:p>
        </w:tc>
      </w:tr>
      <w:tr>
        <w:trPr>
          <w:trHeight w:val="20"/>
        </w:trPr>
        <w:tc>
          <w:tcPr>
            <w:tcW w:w="5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 </w:t>
      </w:r>
      <w:r>
        <w:rPr>
          <w:rFonts w:ascii="Times New Roman" w:cs="Times New Roman" w:eastAsia="Times New Roman" w:hAnsi="Times New Roman"/>
          <w:sz w:val="18"/>
          <w:szCs w:val="18"/>
          <w:color w:val="auto"/>
        </w:rPr>
        <w:t>continued</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(aa) Recently issued accounting pronouncements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New accounting standards which have been adopted</w:t>
      </w:r>
    </w:p>
    <w:p>
      <w:pPr>
        <w:spacing w:after="0" w:line="225"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ASU No.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740): Improvements to Income Tax Disclosures, which aims to improve the transparency of income tax disclosures by requiring consistent categories and greater disaggregation of information in the rate reconciliation and income taxes paid disaggregated by jurisdiction. For public business entities, the amendments are effective for fiscal years beginning after December 15, 2024 and interim periods within those fiscal years. Early adoption is permitted. The Company prospectively adopted ASU 2023-09 on January 1, 2025. Refer to note 14 Taxation.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225"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w:t>
      </w:r>
      <w:r>
        <w:rPr>
          <w:rFonts w:ascii="Times New Roman" w:cs="Times New Roman" w:eastAsia="Times New Roman" w:hAnsi="Times New Roman"/>
          <w:sz w:val="18"/>
          <w:szCs w:val="18"/>
          <w:color w:val="auto"/>
        </w:rPr>
        <w:t>(Subtopic 220-40):</w:t>
      </w:r>
      <w:r>
        <w:rPr>
          <w:rFonts w:ascii="Times New Roman" w:cs="Times New Roman" w:eastAsia="Times New Roman" w:hAnsi="Times New Roman"/>
          <w:sz w:val="18"/>
          <w:szCs w:val="18"/>
          <w:i w:val="1"/>
          <w:iCs w:val="1"/>
          <w:color w:val="auto"/>
        </w:rPr>
        <w:t xml:space="preserve"> Disaggregation of Income Statement Expenses</w:t>
      </w:r>
      <w:r>
        <w:rPr>
          <w:rFonts w:ascii="Times New Roman" w:cs="Times New Roman" w:eastAsia="Times New Roman" w:hAnsi="Times New Roman"/>
          <w:sz w:val="18"/>
          <w:szCs w:val="18"/>
          <w:color w:val="auto"/>
        </w:rPr>
        <w:t>. This update requires that at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interim and annual reporting period public entities disclose (1) the amounts of purchases of inventory, employee compensation, depreciation, amortization, and depletion in commonly presented expense captions; (2) certain amounts that are already required to be disclosed under current GAAP in the same disclosure as the other disaggregation requirements; (3) a qualitative description of the amounts remaining in relevant expense captions that are not separately disaggregated quantitatively; and (4) the total amount of selling expenses and, in annual reporting periods, the definition of selling expenses. In January 2025,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Clarifying the Effective Date</w:t>
      </w:r>
      <w:r>
        <w:rPr>
          <w:rFonts w:ascii="Times New Roman" w:cs="Times New Roman" w:eastAsia="Times New Roman" w:hAnsi="Times New Roman"/>
          <w:sz w:val="18"/>
          <w:szCs w:val="18"/>
          <w:color w:val="auto"/>
        </w:rPr>
        <w:t>. For public business entities, this update is effective for annual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beginning after December 15, 2026, and interim periods within annual reporting periods beginning after December 15, 2027. Early adoption is permitted. The Group expects the adoption of the ASU will result in additional disaggregation of expense captions within its footnote disclosures.</w:t>
      </w:r>
    </w:p>
    <w:p>
      <w:pPr>
        <w:spacing w:after="0" w:line="190"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Measurement of Credit Losses for Accounts Receivable and Contract Assets</w:t>
      </w:r>
      <w:r>
        <w:rPr>
          <w:rFonts w:ascii="Times New Roman" w:cs="Times New Roman" w:eastAsia="Times New Roman" w:hAnsi="Times New Roman"/>
          <w:sz w:val="18"/>
          <w:szCs w:val="18"/>
          <w:color w:val="auto"/>
        </w:rPr>
        <w:t>. This standard introduces a practical expedient that companies can choose to apply when determining allowances for credit losses. Specifically, it permits companies to assume that the current conditions as of the balance sheet date remain unchanged throughout the remaining life of the asset. The amendment is effective for annual reporting periods beginning after December 15, 2025, and requires prospective application. The Group is currently in the process of evaluating the impact of adoption of the ASU on the consolidated financial statements.</w:t>
      </w:r>
    </w:p>
    <w:p>
      <w:pPr>
        <w:spacing w:after="0" w:line="182"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2025-10, </w:t>
      </w:r>
      <w:r>
        <w:rPr>
          <w:rFonts w:ascii="Times New Roman" w:cs="Times New Roman" w:eastAsia="Times New Roman" w:hAnsi="Times New Roman"/>
          <w:sz w:val="18"/>
          <w:szCs w:val="18"/>
          <w:i w:val="1"/>
          <w:iCs w:val="1"/>
          <w:color w:val="auto"/>
        </w:rPr>
        <w:t>Government Grants</w:t>
      </w:r>
      <w:r>
        <w:rPr>
          <w:rFonts w:ascii="Times New Roman" w:cs="Times New Roman" w:eastAsia="Times New Roman" w:hAnsi="Times New Roman"/>
          <w:sz w:val="18"/>
          <w:szCs w:val="18"/>
          <w:color w:val="auto"/>
        </w:rPr>
        <w:t xml:space="preserve"> (Topic 832): Accounting for Government Grants Received by Business Entities (“ASU 2025-10”), to improve generally accepted accounting principles by establishing authoritative guidance on the accounting for government grants received by business entities. The amendments establish the accounting for a government grant received by a business entity, including guidance for (1) a grant related to an asset and (2) a grant related to income. The guidance is effective for fiscal years beginning after December 15, 2028, with early adoption permitted, and it can be applied using one of the following approaches: (1) a modified prospective approach; (2) a modified retrospective approach and (3) a retrospective approach to all government grants. The Company is currently in the process of evaluating the disclosure impact of adoption of the ASU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CONCENTRATIONS AND RISKS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 Concentration of customers and suppliers</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Two customers represented 31.3% and 25.0%, respectively, of the total revenues for the year ended December 31, 2023. One customer represented 29.8% of the total revenues for the year ended December 31, 2024. Three customers represented 32.9%, 13.5% and 12.9%, respectively, of the total revenues for the year ended December 31, 2025. There are no suppliers from whom purchases individually represent greater than 10% of the total purchases of the Group for the years ended December 31, 2023, 2024 and 2025. Two customers accounted for 17.9% and 11.3%, respectively, of the total accounts receivable as of December 31, 2024. One customer accounted for 13.6% of the total accounts receivable as of December 31, 2025.</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 Concentration of credit risk</w:t>
      </w:r>
    </w:p>
    <w:p>
      <w:pPr>
        <w:spacing w:after="0" w:line="22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Financial instruments that potentially subject the Group to concentrations of credit risk consist primarily of cash and cash equivalents, short-term investments and accounts receivable. The Group invests its excess cash in low-risk, high credit quality and highly liquid securities, and places its cash and cash equivalents and short-term investments in the financial institutions which the management believes are of high credit quality. Securities of any given issuer valued at cost at the time of purchase should not exceed 5% of the market value of the portfolio or $1.0 million, whichever is greater. For purposes of this diversification restriction, securities of a parent company, subsidiaries, and entities acquired or merged will be combined. Credit risk arises from cash and cash equivalents, short-term investments, as well as credit exposures to customers, including outstanding receivables. The carrying amount of these financial assets represents the maximum amount of loss due to credit risk. Accounts receivable are typically unsecured and are derived from revenues earned directly from customers. The risk with respect to accounts receivable is mitigated by credit evaluations the Group performs on its customers and its ongoing monitoring processes of outstanding balances.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  Currency convertibility risk</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Chinese mainland government imposes controls on the convertibility of RMB into foreign currencies. The Group’s cash and cash equivalents and short-term investments denominated in RMB that are subject to such government controls amounted to $126.6 million and $247.6 million as of December 31, 2024 and 2025, respectively. The value of RMB is subject to changes in the central government policies and to international economic and political developments affecting supply and demand in the Chinese mainland foreign exchange trading system market. In Chinese mainland, certain foreign exchange transactions are required by law to be transacted only by authorized financial institutions at exchange rates set by the People’s Bank of China (the “PBOC”). Remittances in currencies other than RMB by the Group in Chinese mainland must be processed through the PBOC or other Chinese foreign exchange regulatory bodies which require certain supporting documentation in order to process the remittance.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 Foreign currency exchange rate risk</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Since June 2010, the RMB has fluctuated against the US$, at times significantly and unpredictably. The depreciation of the RMB against the US$ was approximately 2% and 1% for the years ended December 31, 2023 and 2024, respectively. The appreciation of the RMB against the US$ was approximately 2% for the year ended December 31, 2025. It is difficult to predict how market forces or the Chinese mainland or U.S. government policy may impact the exchange rate between the RMB and the US$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MARKETABLE DEBT SECURITIES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in marketable debt securities are recorded as short-term investments and long-term investments on the consolidated balance sheets. The following is a summary of the Group’s investments in marketable debt securities as of December 31, 2024 and 2025:</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rPr>
              <w:t>Amortized</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231F20"/>
              </w:rPr>
              <w:t>Estimated</w:t>
            </w:r>
          </w:p>
        </w:tc>
        <w:tc>
          <w:tcPr>
            <w:tcW w:w="0" w:type="dxa"/>
            <w:vAlign w:val="bottom"/>
          </w:tcPr>
          <w:p>
            <w:pPr>
              <w:spacing w:after="0"/>
              <w:rPr>
                <w:sz w:val="1"/>
                <w:szCs w:val="1"/>
                <w:color w:val="auto"/>
              </w:rPr>
            </w:pPr>
          </w:p>
        </w:tc>
      </w:tr>
      <w:tr>
        <w:trPr>
          <w:trHeight w:val="148"/>
        </w:trPr>
        <w:tc>
          <w:tcPr>
            <w:tcW w:w="5220" w:type="dxa"/>
            <w:vAlign w:val="bottom"/>
            <w:gridSpan w:val="2"/>
            <w:vMerge w:val="restart"/>
          </w:tcPr>
          <w:p>
            <w:pPr>
              <w:ind w:left="5120"/>
              <w:spacing w:after="0"/>
              <w:rPr>
                <w:sz w:val="20"/>
                <w:szCs w:val="20"/>
                <w:color w:val="auto"/>
              </w:rPr>
            </w:pPr>
            <w:r>
              <w:rPr>
                <w:rFonts w:ascii="Times New Roman" w:cs="Times New Roman" w:eastAsia="Times New Roman" w:hAnsi="Times New Roman"/>
                <w:sz w:val="14"/>
                <w:szCs w:val="14"/>
                <w:color w:val="231F20"/>
              </w:rPr>
              <w:t>​​​</w:t>
            </w: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31F20"/>
              </w:rPr>
              <w:t>Unrealized</w:t>
            </w: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231F20"/>
              </w:rPr>
              <w:t>​​​</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31F20"/>
              </w:rPr>
              <w:t>Unrealized</w:t>
            </w: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20" w:type="dxa"/>
            <w:vAlign w:val="bottom"/>
            <w:gridSpan w:val="2"/>
            <w:vMerge w:val="continue"/>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Cost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231F20"/>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Gain</w:t>
            </w:r>
          </w:p>
        </w:tc>
        <w:tc>
          <w:tcPr>
            <w:tcW w:w="180" w:type="dxa"/>
            <w:vAlign w:val="bottom"/>
            <w:gridSpan w:val="2"/>
            <w:vMerge w:val="continue"/>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Loss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b w:val="1"/>
                <w:bCs w:val="1"/>
                <w:color w:val="231F20"/>
              </w:rPr>
              <w:t>Fair Value</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backed securities</w:t>
            </w:r>
          </w:p>
        </w:tc>
        <w:tc>
          <w:tcPr>
            <w:tcW w:w="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87,591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87,428</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Treasury bill</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7,995</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Yankee bonds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5,589</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Wealth management products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87,947</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208,751</w:t>
            </w: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1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208,884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20" w:type="dxa"/>
            <w:vAlign w:val="bottom"/>
            <w:gridSpan w:val="2"/>
          </w:tcPr>
          <w:p>
            <w:pPr>
              <w:ind w:left="51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220" w:type="dxa"/>
            <w:vAlign w:val="bottom"/>
            <w:gridSpan w:val="2"/>
            <w:vMerge w:val="restart"/>
          </w:tcPr>
          <w:p>
            <w:pPr>
              <w:ind w:left="51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20" w:type="dxa"/>
            <w:vAlign w:val="bottom"/>
            <w:gridSpan w:val="2"/>
            <w:vMerge w:val="continue"/>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Gain</w:t>
            </w:r>
          </w:p>
        </w:tc>
        <w:tc>
          <w:tcPr>
            <w:tcW w:w="180" w:type="dxa"/>
            <w:vAlign w:val="bottom"/>
            <w:gridSpan w:val="2"/>
            <w:vMerge w:val="continue"/>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Fair Value</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backed securities</w:t>
            </w:r>
          </w:p>
        </w:tc>
        <w:tc>
          <w:tcPr>
            <w:tcW w:w="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55,050</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55,114</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213,104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213,387</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bill</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33,777</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34,294</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Yankee bonds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Wealth management products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52,550</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Sovereign government security</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398,236</w:t>
            </w: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483</w:t>
            </w:r>
          </w:p>
        </w:tc>
        <w:tc>
          <w:tcPr>
            <w:tcW w:w="1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398,590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INVESTMENTS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Long-term investments are mainly comprised of investments in marketable debt securities, debt investments in investees’ preferred shares, equity investment without readily determinable fair values, equity method investments, term deposits and certificate of deposits and convertible bonds. The following is a summary of long-term investments:</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86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6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deposits and certificate of deposits (note 6)</w:t>
            </w:r>
          </w:p>
        </w:tc>
        <w:tc>
          <w:tcPr>
            <w:tcW w:w="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227,932</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marketable debt securities (note 6)</w:t>
            </w: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58,373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118,979</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investment (note 5b)</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68,204</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 without readily determinable fair values (note 5d)</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28,930</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investments in investees' preferred shares (note 5a and note 6)</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Convertible bonds (note 5c and note 6)</w:t>
            </w:r>
          </w:p>
        </w:tc>
        <w:tc>
          <w:tcPr>
            <w:tcW w:w="8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10,897</w:t>
            </w:r>
          </w:p>
        </w:tc>
        <w:tc>
          <w:tcPr>
            <w:tcW w:w="0" w:type="dxa"/>
            <w:vAlign w:val="bottom"/>
          </w:tcPr>
          <w:p>
            <w:pPr>
              <w:spacing w:after="0"/>
              <w:rPr>
                <w:sz w:val="1"/>
                <w:szCs w:val="1"/>
                <w:color w:val="auto"/>
              </w:rPr>
            </w:pPr>
          </w:p>
        </w:tc>
      </w:tr>
      <w:tr>
        <w:trPr>
          <w:trHeight w:val="210"/>
        </w:trPr>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130,799</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454,942</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LONG-TERM INVESTMENTS -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 Debt investments in investees’ preferred shares</w:t>
      </w:r>
    </w:p>
    <w:p>
      <w:pPr>
        <w:spacing w:after="0" w:line="229"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As of December 31, 2024, the Group’s debt investments in investees’ redeemable preferred shares, with initial costs of $34.0 million, primarily comprised two investments in two entities: (i) a company engaged in graphics processing unit (“GPU”) R&amp;D, and (ii) a hail-riding service provider.</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Investment in the GPU R&amp;D company</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investment in the GPU R&amp;D company was initially classified as a long-term available-for-sale investments, measured at fair value through other comprehensive income. For the year ended December 31,2024, a fair value increase of $35.1 million was recognized in other comprehensive income. In January 2025, the Company disposed of a portion of the investment for cash proceeds of $16.7 million, which was based on the fair value of the investment on the disposal date.</w:t>
      </w:r>
    </w:p>
    <w:p>
      <w:pPr>
        <w:spacing w:after="0" w:line="13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Upon the investee’s IPO in December 2025, the redeemable preferred shares were converted into ordinary shares, and all associated preferential rights lapsed. As a result, the investment was reclassified from long-term investments to short-term investments in equity securities with readily determinable fair values subject to a 12-month lock-up and thus restricted stocks in nature. For the year ended December 31,2025, a total fair value gain of $136.9 million was recognized in “changes in fair value of trading securities” of which $16.9 million represented the reclassification of cumulative gains previously recognized in other comprehensive income, transferred to profit or loss on the investee’s IPO date. As of December 31, 2025, the investment was carried at $138.8 million and reported within short-term investments.</w:t>
      </w:r>
    </w:p>
    <w:p>
      <w:pPr>
        <w:spacing w:after="0" w:line="14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Due to the 12-month lock-up restriction, the fair value of the investment was determined using the quoted market price of the underlying ordinary shares, adjusted for a discount for lack of marketability (“DLOM”) of 11%. This fair value measurement is classified within Level 3 of the fair value hierarchy.</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Investment in the ride-hailing service company</w:t>
      </w:r>
    </w:p>
    <w:p>
      <w:pPr>
        <w:spacing w:after="0" w:line="22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Regarding the investment in the company of ride-hailing service provider, upon the investee’s IPO in July 2024, due to the Company’s change in holding intent to trading purpose, and the elimination of preferential rights along with the conversion of preferred shares into ordinary shares, the investment was reclassified from long-term investments to short-term investments as equity securities with readily determinable fair values. For the year ended December 31, 2024, a fair value decrease of $17.2 million was recorded in changes in fair value of trading securities, with the investment carried at $19.7 million as of December 31, 2024. For the year ended December 31, 2025, a fair value decrease of $6.7 million was recorded in changes in fair value of trading securities, with the investment carried at $12.9 million as of December 31, 2025 and reported within short-term investments. The Company measured the fair value of the investment in ordinary shares using the market approach based on the quoted stock price of the investee and has classified it as Level 1 measurement.</w:t>
      </w:r>
    </w:p>
    <w:p>
      <w:pPr>
        <w:spacing w:after="0" w:line="14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$4.8 million, $24.7 million and nil unrealized gains were recorded in other comprehensive income, respectively.</w:t>
      </w:r>
    </w:p>
    <w:p>
      <w:pPr>
        <w:spacing w:after="0" w:line="12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Prior to their reclassification from long-term investments to short-term investments, these available-for-sale debt investments are carried at fair value. The Group uses backsolve method with significant unobservable inputs to measure the fair value of the investments (Level 3), which primarily include the recent transaction price of the underlying private company’s securities and DLOM.</w:t>
      </w:r>
    </w:p>
    <w:p>
      <w:pPr>
        <w:spacing w:after="0" w:line="15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of December 31, 2024 and 2025, no impairment indicator was identified associated with the available-for-sale debt investments.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LONG-TERM INVESTMENTS -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 Equity method investment</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May and September 2024, the Group paid $1.6 million and $2.6 million in cash, respectively, to a joint venture as initial investment in its common shares, to subscribe 50% equity rights of the investee. In September 2025, the Group has completed the final payment to the investee for an amount of $52.5 million to advance the future mass production and large-scale deployment of fully driverless vehicles. Since the Group can exercise significant influence over the joint venture, and does not have a controlling interest, this investment is accounted for using the equity method.</w:t>
      </w:r>
    </w:p>
    <w:p>
      <w:pPr>
        <w:spacing w:after="0" w:line="18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November 2024, the Group, as a limited partner, paid $11.2 million in cash to a fund as initial investment, to subscribe 99.9% equity rights of the fund for future investment in automation driving industry. Since the Group can exercise significant influence over the fund, in which all partners have veto rights, and the Group does not have a controlling interest, this investment is accounted for using the equity method.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 Convertible bonds</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February 2025, the Group entered into an agreement with a South Korean public listed company, to subscribe its convertible bonds. The total subscription consideration was KRW15.3 billion (equivalent to $10.5 million). The convertible bonds have a maturity date of January 13, 2028. The Group has the unilateral right to request early redemption of the convertible bonds every six months after holding them for one year, with an applicable compound interest rate of 3%. Additionally, the convertible bonds grant the Group the right to convert them into a specified number of common shares at any time from one year after issuance until the maturity date of January 13, 2028, based on the conversion rate specified in the agreement.</w:t>
      </w:r>
    </w:p>
    <w:p>
      <w:pPr>
        <w:spacing w:after="0" w:line="18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convertible bonds are classified as available-for-sale debt securities, as they do not meet the criteria for held-to-maturity or trading securities. They are carried at fair value on the consolidated balance sheets, with unrealized gains and losses recorded in accumulated other comprehensive income. For the year ended December 31, 2025, the Company recorded an unrealized gain of $0.3 million in accumulated other comprehensive income based on its fair value.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 Equity investment without readily determinable fair values</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May 2025, the Company made a $27.9 million investment in a private new energy vehicle company, acquiring a 0.5577% equity interest. Given that the Company does not have significant influence and the equity investment does not have a readily determinable fair value, the Group elects measurement alternative to the fair value measurement for the equity security without readily determinable fair values, under which the investment is measured at cost, less impairment, plus or minus observable price changes of an identical or similar investment of the same issuer with the fair value change recorded in the consolidated statements of operations and comprehensive loss.</w:t>
      </w:r>
    </w:p>
    <w:p>
      <w:pPr>
        <w:spacing w:after="0" w:line="18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activities related to fair value of the debt investments in investees’ preferred shares and convertible bonds, which are recorded as available-for-sale investments:</w:t>
      </w:r>
    </w:p>
    <w:p>
      <w:pPr>
        <w:spacing w:after="0" w:line="16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0" w:type="dxa"/>
            <w:vAlign w:val="bottom"/>
          </w:tcPr>
          <w:p>
            <w:pPr>
              <w:spacing w:after="0"/>
              <w:rPr>
                <w:sz w:val="12"/>
                <w:szCs w:val="12"/>
                <w:color w:val="auto"/>
              </w:rPr>
            </w:pPr>
          </w:p>
        </w:tc>
        <w:tc>
          <w:tcPr>
            <w:tcW w:w="6560" w:type="dxa"/>
            <w:vAlign w:val="bottom"/>
            <w:gridSpan w:val="2"/>
          </w:tcPr>
          <w:p>
            <w:pPr>
              <w:ind w:left="6440"/>
              <w:spacing w:after="0" w:line="142" w:lineRule="exact"/>
              <w:rPr>
                <w:sz w:val="20"/>
                <w:szCs w:val="20"/>
                <w:color w:val="auto"/>
              </w:rPr>
            </w:pPr>
            <w:r>
              <w:rPr>
                <w:rFonts w:ascii="Times New Roman" w:cs="Times New Roman" w:eastAsia="Times New Roman" w:hAnsi="Times New Roman"/>
                <w:sz w:val="14"/>
                <w:szCs w:val="14"/>
                <w:color w:val="231F20"/>
              </w:rPr>
              <w:t>​​​</w:t>
            </w:r>
          </w:p>
        </w:tc>
        <w:tc>
          <w:tcPr>
            <w:tcW w:w="92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color w:val="231F20"/>
              </w:rPr>
              <w:t>​​​</w:t>
            </w:r>
          </w:p>
        </w:tc>
        <w:tc>
          <w:tcPr>
            <w:tcW w:w="78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2"/>
                <w:szCs w:val="12"/>
                <w:color w:val="auto"/>
              </w:rPr>
            </w:pPr>
          </w:p>
        </w:tc>
      </w:tr>
      <w:tr>
        <w:trPr>
          <w:trHeight w:val="210"/>
        </w:trPr>
        <w:tc>
          <w:tcPr>
            <w:tcW w:w="660" w:type="dxa"/>
            <w:vAlign w:val="bottom"/>
          </w:tcPr>
          <w:p>
            <w:pPr>
              <w:spacing w:after="0"/>
              <w:rPr>
                <w:sz w:val="18"/>
                <w:szCs w:val="18"/>
                <w:color w:val="auto"/>
              </w:rPr>
            </w:pPr>
          </w:p>
        </w:tc>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Fair value of available-for-sale debt investments at the beginning of the year </w:t>
            </w:r>
            <w:r>
              <w:rPr>
                <w:rFonts w:ascii="Times New Roman" w:cs="Times New Roman" w:eastAsia="Times New Roman" w:hAnsi="Times New Roman"/>
                <w:sz w:val="18"/>
                <w:szCs w:val="18"/>
                <w:color w:val="231F20"/>
              </w:rPr>
              <w:t>(Level 3)</w:t>
            </w: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49,307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35,076</w:t>
            </w:r>
          </w:p>
        </w:tc>
        <w:tc>
          <w:tcPr>
            <w:tcW w:w="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Additions – initial investment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10,486</w:t>
            </w:r>
          </w:p>
        </w:tc>
        <w:tc>
          <w:tcPr>
            <w:tcW w:w="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Reclass to short-term investments (note 5a)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(38,738)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(18,800)</w:t>
            </w:r>
          </w:p>
        </w:tc>
        <w:tc>
          <w:tcPr>
            <w:tcW w:w="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Change in fair value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24,736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318</w:t>
            </w:r>
          </w:p>
        </w:tc>
        <w:tc>
          <w:tcPr>
            <w:tcW w:w="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Disposal of available-for-sale debt investment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(16,693)</w:t>
            </w:r>
          </w:p>
        </w:tc>
        <w:tc>
          <w:tcPr>
            <w:tcW w:w="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Foreign currency translation adjustment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(229)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510</w:t>
            </w:r>
          </w:p>
        </w:tc>
        <w:tc>
          <w:tcPr>
            <w:tcW w:w="64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Fair value of available-for-sale debt investments at the end of the year </w:t>
            </w:r>
            <w:r>
              <w:rPr>
                <w:rFonts w:ascii="Times New Roman" w:cs="Times New Roman" w:eastAsia="Times New Roman" w:hAnsi="Times New Roman"/>
                <w:sz w:val="18"/>
                <w:szCs w:val="18"/>
                <w:b w:val="1"/>
                <w:bCs w:val="1"/>
                <w:color w:val="231F20"/>
              </w:rPr>
              <w:t>(Level 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35,076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10,897</w:t>
            </w:r>
          </w:p>
        </w:tc>
        <w:tc>
          <w:tcPr>
            <w:tcW w:w="64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858"/>
        </w:trPr>
        <w:tc>
          <w:tcPr>
            <w:tcW w:w="660" w:type="dxa"/>
            <w:vAlign w:val="bottom"/>
          </w:tcPr>
          <w:p>
            <w:pPr>
              <w:spacing w:after="0"/>
              <w:rPr>
                <w:sz w:val="24"/>
                <w:szCs w:val="24"/>
                <w:color w:val="auto"/>
              </w:rPr>
            </w:pPr>
          </w:p>
        </w:tc>
        <w:tc>
          <w:tcPr>
            <w:tcW w:w="6560" w:type="dxa"/>
            <w:vAlign w:val="bottom"/>
            <w:gridSpan w:val="2"/>
          </w:tcPr>
          <w:p>
            <w:pPr>
              <w:ind w:left="4140"/>
              <w:spacing w:after="0"/>
              <w:rPr>
                <w:sz w:val="20"/>
                <w:szCs w:val="20"/>
                <w:color w:val="auto"/>
              </w:rPr>
            </w:pPr>
            <w:r>
              <w:rPr>
                <w:rFonts w:ascii="Times New Roman" w:cs="Times New Roman" w:eastAsia="Times New Roman" w:hAnsi="Times New Roman"/>
                <w:sz w:val="18"/>
                <w:szCs w:val="18"/>
                <w:color w:val="auto"/>
              </w:rPr>
              <w:t>F-25</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60"/>
        </w:trPr>
        <w:tc>
          <w:tcPr>
            <w:tcW w:w="66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7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Fair value measurements or disclosed on a recurring basis</w:t>
      </w:r>
    </w:p>
    <w:p>
      <w:pPr>
        <w:spacing w:after="0" w:line="227"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value measurements of assets and liabilities that are measured or disclosed at fair value on a recurring basis as of December 31, 2024 and 2025, are as follows:</w:t>
      </w:r>
    </w:p>
    <w:p>
      <w:pPr>
        <w:spacing w:after="0" w:line="16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4"/>
          <w:szCs w:val="14"/>
          <w:b w:val="1"/>
          <w:bCs w:val="1"/>
          <w:color w:val="auto"/>
        </w:rPr>
        <w:t>As of December 31, 2024</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60" w:type="dxa"/>
            <w:vAlign w:val="bottom"/>
          </w:tcPr>
          <w:p>
            <w:pPr>
              <w:spacing w:after="0" w:line="20" w:lineRule="exact"/>
              <w:rPr>
                <w:sz w:val="1"/>
                <w:szCs w:val="1"/>
                <w:color w:val="auto"/>
              </w:rPr>
            </w:pPr>
          </w:p>
        </w:tc>
        <w:tc>
          <w:tcPr>
            <w:tcW w:w="556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60" w:type="dxa"/>
            <w:vAlign w:val="bottom"/>
          </w:tcPr>
          <w:p>
            <w:pPr>
              <w:spacing w:after="0"/>
              <w:rPr>
                <w:sz w:val="10"/>
                <w:szCs w:val="10"/>
                <w:color w:val="auto"/>
              </w:rPr>
            </w:pPr>
          </w:p>
        </w:tc>
        <w:tc>
          <w:tcPr>
            <w:tcW w:w="5560" w:type="dxa"/>
            <w:vAlign w:val="bottom"/>
          </w:tcPr>
          <w:p>
            <w:pPr>
              <w:ind w:left="54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11"/>
              <w:spacing w:after="0" w:line="12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880" w:type="dxa"/>
            <w:vAlign w:val="bottom"/>
            <w:gridSpan w:val="3"/>
          </w:tcPr>
          <w:p>
            <w:pPr>
              <w:ind w:left="80"/>
              <w:spacing w:after="0" w:line="122" w:lineRule="exact"/>
              <w:rPr>
                <w:sz w:val="20"/>
                <w:szCs w:val="20"/>
                <w:color w:val="auto"/>
              </w:rPr>
            </w:pPr>
            <w:r>
              <w:rPr>
                <w:rFonts w:ascii="Times New Roman" w:cs="Times New Roman" w:eastAsia="Times New Roman" w:hAnsi="Times New Roman"/>
                <w:sz w:val="14"/>
                <w:szCs w:val="14"/>
                <w:b w:val="1"/>
                <w:bCs w:val="1"/>
                <w:color w:val="auto"/>
              </w:rPr>
              <w:t>​​​ Level 2</w:t>
            </w:r>
          </w:p>
        </w:tc>
        <w:tc>
          <w:tcPr>
            <w:tcW w:w="740" w:type="dxa"/>
            <w:vAlign w:val="bottom"/>
            <w:gridSpan w:val="2"/>
          </w:tcPr>
          <w:p>
            <w:pPr>
              <w:jc w:val="right"/>
              <w:ind w:right="10"/>
              <w:spacing w:after="0" w:line="122" w:lineRule="exact"/>
              <w:rPr>
                <w:sz w:val="20"/>
                <w:szCs w:val="20"/>
                <w:color w:val="auto"/>
              </w:rPr>
            </w:pPr>
            <w:r>
              <w:rPr>
                <w:rFonts w:ascii="Times New Roman" w:cs="Times New Roman" w:eastAsia="Times New Roman" w:hAnsi="Times New Roman"/>
                <w:sz w:val="14"/>
                <w:szCs w:val="14"/>
                <w:b w:val="1"/>
                <w:bCs w:val="1"/>
                <w:color w:val="auto"/>
              </w:rPr>
              <w:t>​​​ Level 3</w:t>
            </w:r>
          </w:p>
        </w:tc>
        <w:tc>
          <w:tcPr>
            <w:tcW w:w="860" w:type="dxa"/>
            <w:vAlign w:val="bottom"/>
            <w:gridSpan w:val="2"/>
          </w:tcPr>
          <w:p>
            <w:pPr>
              <w:jc w:val="right"/>
              <w:ind w:right="110"/>
              <w:spacing w:after="0" w:line="122" w:lineRule="exact"/>
              <w:rPr>
                <w:sz w:val="20"/>
                <w:szCs w:val="20"/>
                <w:color w:val="auto"/>
              </w:rPr>
            </w:pPr>
            <w:r>
              <w:rPr>
                <w:rFonts w:ascii="Times New Roman" w:cs="Times New Roman" w:eastAsia="Times New Roman" w:hAnsi="Times New Roman"/>
                <w:sz w:val="14"/>
                <w:szCs w:val="14"/>
                <w:b w:val="1"/>
                <w:bCs w:val="1"/>
                <w:color w:val="auto"/>
              </w:rPr>
              <w:t>​​​  Total</w:t>
            </w: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56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5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4,488</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4,488</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 backed securities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49,773</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Treasury bill</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60" w:type="dxa"/>
            <w:vAlign w:val="bottom"/>
          </w:tcPr>
          <w:p>
            <w:pPr>
              <w:spacing w:after="0"/>
              <w:rPr>
                <w:sz w:val="18"/>
                <w:szCs w:val="18"/>
                <w:color w:val="auto"/>
              </w:rPr>
            </w:pP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Yankee bonds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Wealth management products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82,930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82,930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5560" w:type="dxa"/>
            <w:vAlign w:val="bottom"/>
            <w:tcBorders>
              <w:top w:val="single" w:sz="8" w:color="CCEEFF"/>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Marketable debt securities (note 4)</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1,948</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148,563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150,511</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660" w:type="dxa"/>
            <w:vAlign w:val="bottom"/>
          </w:tcPr>
          <w:p>
            <w:pPr>
              <w:spacing w:after="0"/>
              <w:rPr>
                <w:sz w:val="15"/>
                <w:szCs w:val="15"/>
                <w:color w:val="auto"/>
              </w:rPr>
            </w:pPr>
          </w:p>
        </w:tc>
        <w:tc>
          <w:tcPr>
            <w:tcW w:w="556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Equity investment with readily determinable fair values (note b and note</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5a)</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23,988</w:t>
            </w:r>
          </w:p>
        </w:tc>
        <w:tc>
          <w:tcPr>
            <w:tcW w:w="160" w:type="dxa"/>
            <w:vAlign w:val="bottom"/>
          </w:tcPr>
          <w:p>
            <w:pPr>
              <w:spacing w:after="0"/>
              <w:rPr>
                <w:sz w:val="20"/>
                <w:szCs w:val="20"/>
                <w:color w:val="auto"/>
              </w:rPr>
            </w:pP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23,988</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560" w:type="dxa"/>
            <w:vAlign w:val="bottom"/>
            <w:tcBorders>
              <w:top w:val="single" w:sz="8" w:color="CCEEFF"/>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23,988</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23,988</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Term deposits and certificate of deposits (note a)</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34,536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34,536</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25,936</w:t>
            </w: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183,099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209,035</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Asset backed securities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37,655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Yankee bonds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Wealth management products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Marketable debt securities (note 4)</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6,047</w:t>
            </w:r>
          </w:p>
        </w:tc>
        <w:tc>
          <w:tcPr>
            <w:tcW w:w="16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52,326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58,373</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5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Debt investments in investees’ preferred shares (note 5a)</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35,076</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35,076</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5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Term deposits and certificate of deposits (note a and note 5)</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21,517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21,517</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5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6,047</w:t>
            </w: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73,843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35,076</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114,966</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Total assets in fair value</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31,983</w:t>
            </w:r>
          </w:p>
        </w:tc>
        <w:tc>
          <w:tcPr>
            <w:tcW w:w="16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261,430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35,076</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328,489</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5"/>
        </w:trPr>
        <w:tc>
          <w:tcPr>
            <w:tcW w:w="660" w:type="dxa"/>
            <w:vAlign w:val="bottom"/>
          </w:tcPr>
          <w:p>
            <w:pPr>
              <w:spacing w:after="0"/>
              <w:rPr>
                <w:sz w:val="24"/>
                <w:szCs w:val="24"/>
                <w:color w:val="auto"/>
              </w:rPr>
            </w:pPr>
          </w:p>
        </w:tc>
        <w:tc>
          <w:tcPr>
            <w:tcW w:w="5560" w:type="dxa"/>
            <w:vAlign w:val="bottom"/>
          </w:tcPr>
          <w:p>
            <w:pPr>
              <w:ind w:left="4140"/>
              <w:spacing w:after="0"/>
              <w:rPr>
                <w:sz w:val="20"/>
                <w:szCs w:val="20"/>
                <w:color w:val="auto"/>
              </w:rPr>
            </w:pPr>
            <w:r>
              <w:rPr>
                <w:rFonts w:ascii="Times New Roman" w:cs="Times New Roman" w:eastAsia="Times New Roman" w:hAnsi="Times New Roman"/>
                <w:sz w:val="18"/>
                <w:szCs w:val="18"/>
                <w:color w:val="auto"/>
              </w:rPr>
              <w:t>F-26</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6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522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 xml:space="preserve">FAIR VALUE MEASUREMENTS - </w:t>
            </w:r>
            <w:r>
              <w:rPr>
                <w:rFonts w:ascii="Times New Roman" w:cs="Times New Roman" w:eastAsia="Times New Roman" w:hAnsi="Times New Roman"/>
                <w:sz w:val="18"/>
                <w:szCs w:val="18"/>
                <w:color w:val="auto"/>
              </w:rPr>
              <w:t>continued</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5220" w:type="dxa"/>
            <w:vAlign w:val="bottom"/>
            <w:gridSpan w:val="4"/>
          </w:tcPr>
          <w:p>
            <w:pPr>
              <w:ind w:left="260"/>
              <w:spacing w:after="0"/>
              <w:rPr>
                <w:sz w:val="20"/>
                <w:szCs w:val="20"/>
                <w:color w:val="auto"/>
              </w:rPr>
            </w:pPr>
            <w:r>
              <w:rPr>
                <w:rFonts w:ascii="Times New Roman" w:cs="Times New Roman" w:eastAsia="Times New Roman" w:hAnsi="Times New Roman"/>
                <w:sz w:val="18"/>
                <w:szCs w:val="18"/>
                <w:i w:val="1"/>
                <w:iCs w:val="1"/>
                <w:color w:val="auto"/>
              </w:rPr>
              <w:t>Fair value measurements on a recurring basis</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60" w:type="dxa"/>
            <w:vAlign w:val="bottom"/>
            <w:vMerge w:val="restart"/>
          </w:tcPr>
          <w:p>
            <w:pPr>
              <w:ind w:left="23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940" w:type="dxa"/>
            <w:vAlign w:val="bottom"/>
            <w:gridSpan w:val="2"/>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  Level 2</w:t>
            </w:r>
          </w:p>
        </w:tc>
        <w:tc>
          <w:tcPr>
            <w:tcW w:w="20" w:type="dxa"/>
            <w:vAlign w:val="bottom"/>
          </w:tcPr>
          <w:p>
            <w:pPr>
              <w:spacing w:after="0"/>
              <w:rPr>
                <w:sz w:val="12"/>
                <w:szCs w:val="12"/>
                <w:color w:val="auto"/>
              </w:rPr>
            </w:pPr>
          </w:p>
        </w:tc>
        <w:tc>
          <w:tcPr>
            <w:tcW w:w="1060" w:type="dxa"/>
            <w:vAlign w:val="bottom"/>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  Level 3</w:t>
            </w:r>
          </w:p>
        </w:tc>
        <w:tc>
          <w:tcPr>
            <w:tcW w:w="90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   Total</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Treasury bill</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Money market fund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183,856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183,856</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194,819</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194,819</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Asset backed securities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172,595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172,595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Treasury bill</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33,777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33,777</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13,345</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Yankee bonds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7,006</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Wealth management products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47,536</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Marketable debt securities (note 4)</w:t>
            </w:r>
          </w:p>
        </w:tc>
        <w:tc>
          <w:tcPr>
            <w:tcW w:w="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13,345</w:t>
            </w:r>
          </w:p>
        </w:tc>
        <w:tc>
          <w:tcPr>
            <w:tcW w:w="1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266,266</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279,611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920" w:type="dxa"/>
            <w:vAlign w:val="bottom"/>
            <w:gridSpan w:val="2"/>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rPr>
              <w:t>Equity investment with readily determinable fair values (note b</w:t>
            </w: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and note 5a)</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15,748</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15,748</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Restricted stocks (note b and note 5a)</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138,807</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138,807</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2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15,748</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138,807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154,555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Term deposits and certificate of deposits (note a)</w:t>
            </w:r>
          </w:p>
        </w:tc>
        <w:tc>
          <w:tcPr>
            <w:tcW w:w="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437,992</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437,992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29,093</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704,258</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138,807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872,158</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Asset backed securities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40,792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40,792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20,949</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20,949</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Sovereign government security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Wealth management products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Marketable debt securities (note 4)</w:t>
            </w:r>
          </w:p>
        </w:tc>
        <w:tc>
          <w:tcPr>
            <w:tcW w:w="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23,411</w:t>
            </w:r>
          </w:p>
        </w:tc>
        <w:tc>
          <w:tcPr>
            <w:tcW w:w="1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95,568</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118,979</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Convertible bonds (note 5c)</w:t>
            </w:r>
          </w:p>
        </w:tc>
        <w:tc>
          <w:tcPr>
            <w:tcW w:w="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10,897</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Term deposits and certificate of deposits (note a and note 5)</w:t>
            </w:r>
          </w:p>
        </w:tc>
        <w:tc>
          <w:tcPr>
            <w:tcW w:w="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227,932</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227,932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23,411</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323,500</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357,808</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518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Total assets in fair value</w:t>
            </w:r>
          </w:p>
        </w:tc>
        <w:tc>
          <w:tcPr>
            <w:tcW w:w="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52,504</w:t>
            </w:r>
          </w:p>
        </w:tc>
        <w:tc>
          <w:tcPr>
            <w:tcW w:w="1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1,222,577</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149,704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1,424,785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250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400" w:type="dxa"/>
            <w:vAlign w:val="bottom"/>
          </w:tcPr>
          <w:p>
            <w:pPr>
              <w:spacing w:after="0"/>
              <w:rPr>
                <w:sz w:val="24"/>
                <w:szCs w:val="24"/>
                <w:color w:val="auto"/>
              </w:rPr>
            </w:pPr>
          </w:p>
        </w:tc>
        <w:tc>
          <w:tcPr>
            <w:tcW w:w="52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Note a:  Term deposits and certificate of deposits are deposits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 fixed</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interest rate</w:t>
            </w:r>
          </w:p>
        </w:tc>
        <w:tc>
          <w:tcPr>
            <w:tcW w:w="20" w:type="dxa"/>
            <w:vAlign w:val="bottom"/>
          </w:tcPr>
          <w:p>
            <w:pPr>
              <w:spacing w:after="0"/>
              <w:rPr>
                <w:sz w:val="24"/>
                <w:szCs w:val="24"/>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with original</w:t>
            </w:r>
          </w:p>
        </w:tc>
        <w:tc>
          <w:tcPr>
            <w:tcW w:w="1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between</w:t>
            </w:r>
          </w:p>
        </w:tc>
        <w:tc>
          <w:tcPr>
            <w:tcW w:w="0" w:type="dxa"/>
            <w:vAlign w:val="bottom"/>
          </w:tcPr>
          <w:p>
            <w:pPr>
              <w:spacing w:after="0"/>
              <w:rPr>
                <w:sz w:val="1"/>
                <w:szCs w:val="1"/>
                <w:color w:val="auto"/>
              </w:rPr>
            </w:pPr>
          </w:p>
        </w:tc>
      </w:tr>
    </w:tbl>
    <w:p>
      <w:pPr>
        <w:ind w:left="1300" w:right="20"/>
        <w:spacing w:after="0" w:line="260" w:lineRule="auto"/>
        <w:rPr>
          <w:sz w:val="20"/>
          <w:szCs w:val="20"/>
          <w:color w:val="auto"/>
        </w:rPr>
      </w:pPr>
      <w:r>
        <w:rPr>
          <w:rFonts w:ascii="Times New Roman" w:cs="Times New Roman" w:eastAsia="Times New Roman" w:hAnsi="Times New Roman"/>
          <w:sz w:val="18"/>
          <w:szCs w:val="18"/>
          <w:color w:val="auto"/>
        </w:rPr>
        <w:t>three months and one year, and above one year, which are recorded in short-term investments and long-term investments based on the maturities.</w:t>
      </w:r>
    </w:p>
    <w:p>
      <w:pPr>
        <w:spacing w:after="0" w:line="127" w:lineRule="exact"/>
        <w:rPr>
          <w:sz w:val="20"/>
          <w:szCs w:val="20"/>
          <w:color w:val="auto"/>
        </w:rPr>
      </w:pPr>
    </w:p>
    <w:p>
      <w:pPr>
        <w:jc w:val="both"/>
        <w:ind w:left="1300" w:hanging="647"/>
        <w:spacing w:after="0" w:line="261" w:lineRule="auto"/>
        <w:rPr>
          <w:sz w:val="20"/>
          <w:szCs w:val="20"/>
          <w:color w:val="auto"/>
        </w:rPr>
      </w:pPr>
      <w:r>
        <w:rPr>
          <w:rFonts w:ascii="Times New Roman" w:cs="Times New Roman" w:eastAsia="Times New Roman" w:hAnsi="Times New Roman"/>
          <w:sz w:val="18"/>
          <w:szCs w:val="18"/>
          <w:color w:val="auto"/>
        </w:rPr>
        <w:t>Note b: For the investment in common shares without restriction, its fair value is based on the quoted stock price of its investees in the active market and classified as Level 1 measurement. For the investment in common shares with restriction, i.e subject to lock-up periods, its fair value is based on the quoted stock price of its investee in the active market adjusted for a DLOM, and classified as Level 3 measurement.</w:t>
      </w:r>
    </w:p>
    <w:p>
      <w:pPr>
        <w:spacing w:after="0" w:line="126"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As of December 31, 2024, the balance of the investments was $24.0 million, consisting of $4.3 million in one new equity investment and $19.7 million reclassified from long-term investments (note 5a). The decrease of $21.3 million in fair value was recorded in changes in fair value of trading securities.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FAIR VALUE MEASUREMENTS - </w:t>
      </w:r>
      <w:r>
        <w:rPr>
          <w:rFonts w:ascii="Times New Roman" w:cs="Times New Roman" w:eastAsia="Times New Roman" w:hAnsi="Times New Roman"/>
          <w:sz w:val="18"/>
          <w:szCs w:val="18"/>
          <w:color w:val="auto"/>
        </w:rPr>
        <w:t>continued</w:t>
      </w:r>
    </w:p>
    <w:p>
      <w:pPr>
        <w:spacing w:after="0" w:line="2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Fair value measurements on a recurring basis -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 b: - continued</w:t>
      </w:r>
    </w:p>
    <w:p>
      <w:pPr>
        <w:spacing w:after="0" w:line="171"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As of December 31, 2025, the balance of the investments was $154.6 million, consisting of $2.9 million, and $12.9 million equity investments in the same two listed companies as of December 31, 2024 and restricted stock of $138.8 million reclassified from long-term investments (note 5a). The increase of $128.0 million in fair value was recorded in changes in fair value of trading securities.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activities related to fair value of warrants liability:</w:t>
      </w:r>
    </w:p>
    <w:p>
      <w:pPr>
        <w:spacing w:after="0" w:line="232"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6800" w:type="dxa"/>
            <w:vAlign w:val="bottom"/>
            <w:gridSpan w:val="2"/>
          </w:tcPr>
          <w:p>
            <w:pPr>
              <w:ind w:left="66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2025</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the warrants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Group uses option-pricing model with significant unobservable inputs to measure the fair value of the warrants liability (Level 3), which primarily include the fair value of the series D preferred shares as well as assumptions regarding a number of complex and subjective variables, including the expected volatility of fair value of shares, risk-free interest rates and expected dividends.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Fair value measurements on a non-recurring basis</w:t>
      </w:r>
    </w:p>
    <w:p>
      <w:pPr>
        <w:spacing w:after="0" w:line="22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Group measures property, equipment and software, operating and finance lease right-of-use assets, operating and finance lease liabilities, at fair value on a non-recurring basis only if they were determined to be impaired. For equity investment without readily determinable fair values for which the Group elected to use the measurement alternative, the equity investment is measured at fair value on a non-recurring basis when there is an orderly transaction for identical or similar investments of the same issuer.</w:t>
      </w:r>
    </w:p>
    <w:p>
      <w:pPr>
        <w:spacing w:after="0" w:line="179" w:lineRule="exact"/>
        <w:rPr>
          <w:sz w:val="20"/>
          <w:szCs w:val="20"/>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EQUIPMENT AND SOFTWARE, NET</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equipment and software as of December 31, 2024 and 2025, consist of the following:</w:t>
      </w:r>
    </w:p>
    <w:p>
      <w:pPr>
        <w:spacing w:after="0" w:line="232"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6800" w:type="dxa"/>
            <w:vAlign w:val="bottom"/>
            <w:gridSpan w:val="2"/>
          </w:tcPr>
          <w:p>
            <w:pPr>
              <w:ind w:left="6680"/>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231F20"/>
              </w:rPr>
              <w:t>As of December 31,</w:t>
            </w:r>
          </w:p>
        </w:tc>
      </w:tr>
      <w:tr>
        <w:trPr>
          <w:trHeight w:val="142"/>
        </w:trPr>
        <w:tc>
          <w:tcPr>
            <w:tcW w:w="6800" w:type="dxa"/>
            <w:vAlign w:val="bottom"/>
            <w:gridSpan w:val="2"/>
          </w:tcPr>
          <w:p>
            <w:pPr>
              <w:ind w:left="66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231F20"/>
              </w:rPr>
              <w:t>2024</w:t>
            </w:r>
          </w:p>
        </w:tc>
        <w:tc>
          <w:tcPr>
            <w:tcW w:w="1020" w:type="dxa"/>
            <w:vAlign w:val="bottom"/>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2025</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Computer and equipment</w:t>
            </w:r>
          </w:p>
        </w:tc>
        <w:tc>
          <w:tcPr>
            <w:tcW w:w="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37,032</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45,435</w:t>
            </w: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Vehicle and equipment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24,577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37,111</w:t>
            </w: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Leasehold improvements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4,728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8,712</w:t>
            </w: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Software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2,527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2,659</w:t>
            </w: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Furniture and fixtures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541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582</w:t>
            </w: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Finance lease right-of-use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5,201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2,465</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Total property, equipment and software</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74,606</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96,964</w:t>
            </w:r>
          </w:p>
        </w:tc>
      </w:tr>
      <w:tr>
        <w:trPr>
          <w:trHeight w:val="210"/>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231F20"/>
              </w:rPr>
              <w:t>Less: accumulated depreciation and amortization</w:t>
            </w: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(57,962)</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(59,343)</w:t>
            </w: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Construction in progress</w:t>
            </w:r>
          </w:p>
        </w:tc>
        <w:tc>
          <w:tcPr>
            <w:tcW w:w="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597</w:t>
            </w: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22,846</w:t>
            </w:r>
          </w:p>
        </w:tc>
      </w:tr>
      <w:tr>
        <w:trPr>
          <w:trHeight w:val="210"/>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Property, equipment and software, net</w:t>
            </w: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17,241</w:t>
            </w:r>
          </w:p>
        </w:tc>
        <w:tc>
          <w:tcPr>
            <w:tcW w:w="2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60,467</w:t>
            </w:r>
          </w:p>
        </w:tc>
      </w:tr>
      <w:tr>
        <w:trPr>
          <w:trHeight w:val="20"/>
        </w:trPr>
        <w:tc>
          <w:tcPr>
            <w:tcW w:w="6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Total depreciation and amortization expenses for the year ended December 31, 2025 were $7.1 million ($0.9 million relates to amortization of property and equipment acquired under finance leases), including $1.3 million in cost of revenues, $5.1 million in R&amp;D expenses, and $0.7 million in selling, general and administrative expenses, respectively, on the consolidated statements of operations and comprehensive loss.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hanging="652"/>
        <w:spacing w:after="0"/>
        <w:tabs>
          <w:tab w:leader="none" w:pos="66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PROPERTY, EQUIPMENT AND SOFTWARE, NET - </w:t>
      </w:r>
      <w:r>
        <w:rPr>
          <w:rFonts w:ascii="Times New Roman" w:cs="Times New Roman" w:eastAsia="Times New Roman" w:hAnsi="Times New Roman"/>
          <w:sz w:val="18"/>
          <w:szCs w:val="18"/>
          <w:color w:val="auto"/>
        </w:rPr>
        <w:t>continued</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depreciation and amortization expenses for the year ended December 31, 2024 were $9.8 million ($1.4 million relates to amortization of property and equipment acquired under finance leases), including $1.8 million in cost of revenues, $7.4 million in R&amp;D expenses, and $0.6 million in selling, general and administrative expenses, respectively, on the consolidated statements of operations and comprehensive loss. Total depreciation and amortization expenses for the year ended December 31, 2023 were $15.5 million ($1.2 million relates to amortization of property and equipment acquired under finance leases), including $2.0 million in cost of revenues, $12.5 million in R&amp;D expenses, and $1.0 million in selling, general and administrative expenses, respectively, on the consolidated statements of operations and comprehensive loss.</w:t>
      </w:r>
    </w:p>
    <w:p>
      <w:pPr>
        <w:spacing w:after="0" w:line="184"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OTHER CURRENT LIABILITIES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payable and other current liabilities as of December 31, 2024 and 2025 consist of the following:</w:t>
      </w:r>
    </w:p>
    <w:p>
      <w:pPr>
        <w:spacing w:after="0" w:line="23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6800" w:type="dxa"/>
            <w:vAlign w:val="bottom"/>
            <w:gridSpan w:val="2"/>
          </w:tcPr>
          <w:p>
            <w:pPr>
              <w:ind w:left="66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Borders>
              <w:top w:val="single" w:sz="8" w:color="auto"/>
            </w:tcBorders>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2025</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23,741</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30,581</w:t>
            </w: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17,258</w:t>
            </w: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for goods or services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12,642</w:t>
            </w: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payables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13,182</w:t>
            </w: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from long-term investments disposal (note 5a)</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8,347</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1,916</w:t>
            </w: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payables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7,398</w:t>
            </w: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liabilities (note 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reimbursable to employees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Welfare payable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10"/>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66,548</w:t>
            </w:r>
          </w:p>
        </w:tc>
        <w:tc>
          <w:tcPr>
            <w:tcW w:w="2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85,261</w:t>
            </w:r>
          </w:p>
        </w:tc>
      </w:tr>
      <w:tr>
        <w:trPr>
          <w:trHeight w:val="20"/>
        </w:trPr>
        <w:tc>
          <w:tcPr>
            <w:tcW w:w="6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60" w:hanging="652"/>
        <w:spacing w:after="0"/>
        <w:tabs>
          <w:tab w:leader="none" w:pos="6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leases office spaces and warehouses in several cities in Chinese mainland and other overseas regions under operating leases, and logistics vehicles and containers in the Chinese mainland under finance leases. The Group determines if an arrangement is a lease at inception, and when lease agreements contain lease and non-lease components, the Group accounts for as separate components. The allocation of the consideration between the lease and the non-lease components is based on the relative stand-alone prices of lease components included in the lease contracts. As of December 31, 2025, the Group did not have additional operating leases or finance leases that have not yet commenced.</w:t>
      </w:r>
    </w:p>
    <w:p>
      <w:pPr>
        <w:spacing w:after="0" w:line="187"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operating lease expenses for the years ended December 31, 2023, 2024 and 2025 were $4.3 million, $4.8 million and $5.6 million, respectively, which were recorded in cost of revenues, R&amp;D expenses, and selling, general and administrative expenses on the consolidated statements of operations and comprehensive loss. Short-term lease cost for the years ended December 31, 2023, 2024 and 2025 was $1.5 million, $1.4 million and $1.8 million, respectively.</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acquired under finance leases was $1.8 million and $1.4 million as of December 31, 2024 and 2025, recorded in “Property, equipment and software, net”, and corresponding current and non-current finance lease liabilities were $0.5 million and $1.2 million, as of December 31, 2024, respectively, and $0.5 million and $0.8 million, as of December 31, 2025, respectively, recorded in “Accounts payable and other current liabilities” and “Other non-current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hanging="652"/>
        <w:spacing w:after="0"/>
        <w:tabs>
          <w:tab w:leader="none" w:pos="66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 - </w:t>
      </w:r>
      <w:r>
        <w:rPr>
          <w:rFonts w:ascii="Times New Roman" w:cs="Times New Roman" w:eastAsia="Times New Roman" w:hAnsi="Times New Roman"/>
          <w:sz w:val="18"/>
          <w:szCs w:val="18"/>
          <w:color w:val="auto"/>
        </w:rPr>
        <w:t>continued</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amortization expenses for the finance lease right-of-use assets and the interest expenses on the finance lease liabilities were $1.2 million and $0.1 million for the year ended December 31, 2023, were $1.4 million and $0.1 million for the year ended December 31, 2024, and were $0.9 million and $0.1 million for the year ended December 31, 2025, respectively. Amortization expenses and interest expenses were included in cost of revenues and other income, net on the consolidated statements of operations and comprehensive loss, respectively.</w:t>
      </w:r>
    </w:p>
    <w:p>
      <w:pPr>
        <w:spacing w:after="0" w:line="191"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6800" w:type="dxa"/>
            <w:vAlign w:val="bottom"/>
            <w:gridSpan w:val="2"/>
          </w:tcPr>
          <w:p>
            <w:pPr>
              <w:ind w:left="66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16"/>
        </w:trPr>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Right-of-use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14,811</w:t>
            </w:r>
          </w:p>
        </w:tc>
      </w:tr>
      <w:tr>
        <w:trPr>
          <w:trHeight w:val="216"/>
        </w:trPr>
        <w:tc>
          <w:tcPr>
            <w:tcW w:w="6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w:t>
            </w:r>
          </w:p>
        </w:tc>
      </w:tr>
      <w:tr>
        <w:trPr>
          <w:trHeight w:val="216"/>
        </w:trPr>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10,375</w:t>
            </w: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Right-of-use assets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r>
      <w:tr>
        <w:trPr>
          <w:trHeight w:val="216"/>
        </w:trPr>
        <w:tc>
          <w:tcPr>
            <w:tcW w:w="6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 liabilities, current (note 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34"/>
        </w:trPr>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r>
    </w:tbl>
    <w:p>
      <w:pPr>
        <w:spacing w:after="0" w:line="18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32" w:lineRule="exact"/>
        <w:rPr>
          <w:sz w:val="20"/>
          <w:szCs w:val="20"/>
          <w:color w:val="auto"/>
        </w:rPr>
      </w:pPr>
    </w:p>
    <w:tbl>
      <w:tblPr>
        <w:tblLayout w:type="fixed"/>
        <w:tblInd w:w="660" w:type="dxa"/>
        <w:tblCellMar>
          <w:top w:w="0" w:type="dxa"/>
          <w:left w:w="0" w:type="dxa"/>
          <w:bottom w:w="0" w:type="dxa"/>
          <w:right w:w="0" w:type="dxa"/>
        </w:tblCellMar>
      </w:tblPr>
      <w:tr>
        <w:trPr>
          <w:trHeight w:val="20"/>
        </w:trPr>
        <w:tc>
          <w:tcPr>
            <w:tcW w:w="5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22"/>
        </w:trPr>
        <w:tc>
          <w:tcPr>
            <w:tcW w:w="5980" w:type="dxa"/>
            <w:vAlign w:val="bottom"/>
            <w:gridSpan w:val="2"/>
          </w:tcPr>
          <w:p>
            <w:pPr>
              <w:ind w:left="578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92"/>
              <w:spacing w:after="0" w:line="12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2"/>
              <w:spacing w:after="0" w:line="12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2"/>
              <w:spacing w:after="0" w:line="12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0"/>
                <w:szCs w:val="10"/>
                <w:color w:val="auto"/>
              </w:rPr>
            </w:pPr>
          </w:p>
        </w:tc>
      </w:tr>
      <w:tr>
        <w:trPr>
          <w:trHeight w:val="209"/>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cash used in operating leases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18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cash used in finance leases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Financing cash used in finance leases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8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right-of-use assets in exchange for new lease liabilities:</w:t>
            </w:r>
          </w:p>
        </w:tc>
        <w:tc>
          <w:tcPr>
            <w:tcW w:w="5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11,377</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8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8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560" w:type="dxa"/>
            <w:vAlign w:val="bottom"/>
          </w:tcPr>
          <w:p>
            <w:pPr>
              <w:spacing w:after="0"/>
              <w:rPr>
                <w:sz w:val="18"/>
                <w:szCs w:val="18"/>
                <w:color w:val="auto"/>
              </w:rPr>
            </w:pPr>
          </w:p>
        </w:tc>
        <w:tc>
          <w:tcPr>
            <w:tcW w:w="2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5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82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4.6 %</w:t>
            </w:r>
          </w:p>
        </w:tc>
        <w:tc>
          <w:tcPr>
            <w:tcW w:w="9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5.1 %</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4.6 %</w:t>
            </w:r>
          </w:p>
        </w:tc>
      </w:tr>
      <w:tr>
        <w:trPr>
          <w:trHeight w:val="216"/>
        </w:trPr>
        <w:tc>
          <w:tcPr>
            <w:tcW w:w="5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82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5.9 %</w:t>
            </w:r>
          </w:p>
        </w:tc>
        <w:tc>
          <w:tcPr>
            <w:tcW w:w="9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5.0 %</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4.9 %</w:t>
            </w:r>
          </w:p>
        </w:tc>
      </w:tr>
    </w:tbl>
    <w:p>
      <w:pPr>
        <w:spacing w:after="0" w:line="19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Maturity analysis of the annual undiscounted cash flows for operating lease and finance lease liabilities as of December 31, 2025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7520" w:type="dxa"/>
            <w:vAlign w:val="bottom"/>
          </w:tcPr>
          <w:p>
            <w:pPr>
              <w:ind w:left="7400"/>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Year ending</w:t>
            </w: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174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2031 and thereafter</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8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16,501</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520" w:type="dxa"/>
            <w:vAlign w:val="bottom"/>
            <w:vMerge w:val="restart"/>
          </w:tcPr>
          <w:p>
            <w:pPr>
              <w:ind w:left="4140"/>
              <w:spacing w:after="0"/>
              <w:rPr>
                <w:sz w:val="20"/>
                <w:szCs w:val="20"/>
                <w:color w:val="auto"/>
              </w:rPr>
            </w:pPr>
            <w:r>
              <w:rPr>
                <w:rFonts w:ascii="Times New Roman" w:cs="Times New Roman" w:eastAsia="Times New Roman" w:hAnsi="Times New Roman"/>
                <w:sz w:val="18"/>
                <w:szCs w:val="18"/>
                <w:color w:val="auto"/>
              </w:rPr>
              <w:t>F-30</w:t>
            </w: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60" w:type="dxa"/>
            <w:vAlign w:val="bottom"/>
          </w:tcPr>
          <w:p>
            <w:pPr>
              <w:spacing w:after="0"/>
              <w:rPr>
                <w:sz w:val="24"/>
                <w:szCs w:val="24"/>
                <w:color w:val="auto"/>
              </w:rPr>
            </w:pPr>
          </w:p>
        </w:tc>
        <w:tc>
          <w:tcPr>
            <w:tcW w:w="75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6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right="5820" w:hanging="652"/>
        <w:spacing w:after="0" w:line="503" w:lineRule="auto"/>
        <w:tabs>
          <w:tab w:leader="none" w:pos="66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proceedings</w:t>
      </w: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time to time, the Group may become involved in litigation, claims, and proceedings. The Group evaluates the status of each legal matter and assesses the potential financial exposure. If the potential loss from any legal proceedings or litigation is considered probable and the amount can be reasonably estimated, the Group accrues a liability for the estimated loss. Significant judgment is required to determine the probability of a loss and whether the amount of the loss is reasonably estimated. As of December 31, 2024 and 2025, based on the information currently available, the Group believes that the loss contingencies that may arise as a result of currently pending legal proceedings are not reasonably possible to have a material adverse effect on the Group’s business, results of operations, financial condition, and cash flows.</w:t>
      </w:r>
    </w:p>
    <w:p>
      <w:pPr>
        <w:spacing w:after="0" w:line="184"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w:t>
      </w:r>
    </w:p>
    <w:p>
      <w:pPr>
        <w:spacing w:after="0" w:line="229" w:lineRule="exact"/>
        <w:rPr>
          <w:rFonts w:ascii="Times New Roman" w:cs="Times New Roman" w:eastAsia="Times New Roman" w:hAnsi="Times New Roman"/>
          <w:sz w:val="18"/>
          <w:szCs w:val="18"/>
          <w:b w:val="1"/>
          <w:bCs w:val="1"/>
          <w:color w:val="auto"/>
        </w:rPr>
      </w:pPr>
    </w:p>
    <w:p>
      <w:pPr>
        <w:jc w:val="both"/>
        <w:ind w:left="660" w:right="20"/>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 was incorporated on November 4, 2016 with an authorized share capital of 388,594,477 ordinary shares at the par value of $0.0005 each. A summary of the Class A and Class B ordinary shares as of December 31, 2024 and 2025, is as follows:</w:t>
      </w:r>
    </w:p>
    <w:p>
      <w:pPr>
        <w:spacing w:after="0" w:line="147"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4280" w:type="dxa"/>
            <w:vAlign w:val="bottom"/>
          </w:tcPr>
          <w:p>
            <w:pPr>
              <w:spacing w:after="0"/>
              <w:rPr>
                <w:sz w:val="12"/>
                <w:szCs w:val="12"/>
                <w:color w:val="auto"/>
              </w:rPr>
            </w:pPr>
          </w:p>
        </w:tc>
        <w:tc>
          <w:tcPr>
            <w:tcW w:w="21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Ordinary Shares</w:t>
            </w:r>
          </w:p>
        </w:tc>
        <w:tc>
          <w:tcPr>
            <w:tcW w:w="2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Shares authorized</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498,911,230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498,911,230</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 value</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0.0005</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0.0005</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 issued and outstanding</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269,203,783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352,452,783</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B Ordinary Shares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Shares authorized</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81,088,770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81,088,770</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 value</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0.0005</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0.0005</w:t>
            </w:r>
          </w:p>
        </w:tc>
      </w:tr>
      <w:tr>
        <w:trPr>
          <w:trHeight w:val="238"/>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 issued and outstanding</w:t>
            </w: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81,088,770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81,088,770</w:t>
            </w:r>
          </w:p>
        </w:tc>
      </w:tr>
    </w:tbl>
    <w:p>
      <w:pPr>
        <w:spacing w:after="0" w:line="17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holders of Class A ordinary shares and Class B ordinary shares shall, at all times, vote together as one class on all matters submitted to a vote. The holder of each Class A ordinary share shall have the right to one vote with respect to such Class A ordinary share, and the holder of each Class B ordinary share shall have the right to 10 votes with respect to such Class B ordinary share.</w:t>
      </w:r>
    </w:p>
    <w:p>
      <w:pPr>
        <w:spacing w:after="0" w:line="18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Each Class B ordinary share is convertible into one Class A ordinary share at any time by the holder thereof. In no event shall Class A ordinary shares be convertible into Class B ordinary shares. With respect to any Class B ordinary share upon (a) the death of the stockholder (or its ultimate controlling beneficial owner that is a natural person or any beneficial owner that is a principal) of such Class B ordinary share; (b) any sale, transfer, assignment, or disposition of such Class B ordinary share by a stockholder (or its affiliate) to any person who is not an affiliate of such stockholder; (c) a change of ultimate beneficial ownership of such Class B ordinary share to any person who is not an affiliate of the registered stockholder of such Class B ordinary share; or (d) termination of employment of any principal who is the ultimate beneficial owner holding such Class B ordinary share with the Group, such Class B ordinary share shall be automatically and immediately converted into one Class A ordinary share.</w:t>
      </w:r>
    </w:p>
    <w:p>
      <w:pPr>
        <w:spacing w:after="0" w:line="188"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November 2024, the Group completed its IPO on the National Association of Securities Dealers Automated Quotation (“Nasdaq”). In the offering, 20,000,000 American Depository Shares (“ADSs”), representing 20,000,000 Class A ordinary shares, were issued and sold to the public at a price of $13.00 per ADS. In addition, the Group issued and sold an additional 1,461,410 ADSs, upon the underwriters’ exercise of their option to purchase additional ADSs, representing 1,461,410 Class A ordinary shares. The Group received total net proceeds of approximately $256.7 million after deducting relevant offering expenses.</w:t>
      </w:r>
    </w:p>
    <w:p>
      <w:pPr>
        <w:spacing w:after="0" w:line="18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Meanwhile, immediately prior to the completion of the IPO, the Group sold and issued 11,672,186 Class A ordinary shares in the CPP to certain investors based on the IPO price of $13.00 per ADS. The Group received a total of approximately $151.7 million of net proceeds after deducting relevant offering expenses.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hanging="652"/>
        <w:spacing w:after="0"/>
        <w:tabs>
          <w:tab w:leader="none" w:pos="66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ORDINARY SHARES - </w:t>
      </w:r>
      <w:r>
        <w:rPr>
          <w:rFonts w:ascii="Times New Roman" w:cs="Times New Roman" w:eastAsia="Times New Roman" w:hAnsi="Times New Roman"/>
          <w:sz w:val="18"/>
          <w:szCs w:val="18"/>
          <w:color w:val="auto"/>
        </w:rPr>
        <w:t>continued</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upon the completion of the IPO, all of the 202,699,487 Preferred Shares held by the Group’s preferred shareholders were converted into 225,409,798 Class A ordinary shares with conversion ratio of 1:1 for Series A, Series B, Series B+, Series B2 and Series C, with conversion ratio of 1:1.4439 for Series C+, and with conversion ratio of 1:2.3377 for Series D, which resulted in a decrease of $1,695.3 million in Mezzanine equity and an increase of $0.1 million and an increase of $1,695.2 million recorded in paid- in capital of Class A ordinary shares and additional paid-in capital, respectively.</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2025, the Group completed its Dual Primary Listing and issued 48,249,000 Class A ordinary shares at a price of HK$139.0 per share. The Group received total net proceeds of approximately HK $6,509.7 million (equivalent to $829.4 million) from this offering after deducting relevant offering expenses.</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REDEEMABLE PREFERRED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movement of Preferred Shares issued by the Company:</w:t>
      </w:r>
    </w:p>
    <w:p>
      <w:pPr>
        <w:spacing w:after="0" w:line="222"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720" w:type="dxa"/>
            <w:vAlign w:val="bottom"/>
          </w:tcPr>
          <w:p>
            <w:pPr>
              <w:spacing w:after="0"/>
              <w:rPr>
                <w:sz w:val="12"/>
                <w:szCs w:val="12"/>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Total</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820" w:type="dxa"/>
            <w:vAlign w:val="bottom"/>
            <w:gridSpan w:val="3"/>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 Accretion</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233"/>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Conversion</w:t>
            </w:r>
          </w:p>
        </w:tc>
        <w:tc>
          <w:tcPr>
            <w:tcW w:w="140" w:type="dxa"/>
            <w:vAlign w:val="bottom"/>
          </w:tcPr>
          <w:p>
            <w:pPr>
              <w:spacing w:after="0"/>
              <w:rPr>
                <w:sz w:val="12"/>
                <w:szCs w:val="12"/>
                <w:color w:val="auto"/>
              </w:rPr>
            </w:pPr>
          </w:p>
        </w:tc>
        <w:tc>
          <w:tcPr>
            <w:tcW w:w="760" w:type="dxa"/>
            <w:vAlign w:val="bottom"/>
          </w:tcPr>
          <w:p>
            <w:pPr>
              <w:jc w:val="right"/>
              <w:ind w:right="255"/>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Carrying</w:t>
            </w:r>
          </w:p>
        </w:tc>
      </w:tr>
      <w:tr>
        <w:trPr>
          <w:trHeight w:val="135"/>
        </w:trPr>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ind w:right="74"/>
              <w:spacing w:after="0" w:line="135" w:lineRule="exact"/>
              <w:rPr>
                <w:sz w:val="20"/>
                <w:szCs w:val="20"/>
                <w:color w:val="auto"/>
              </w:rPr>
            </w:pPr>
            <w:r>
              <w:rPr>
                <w:rFonts w:ascii="Times New Roman" w:cs="Times New Roman" w:eastAsia="Times New Roman" w:hAnsi="Times New Roman"/>
                <w:sz w:val="13"/>
                <w:szCs w:val="13"/>
                <w:b w:val="1"/>
                <w:bCs w:val="1"/>
                <w:color w:val="auto"/>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Original</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right"/>
              <w:ind w:right="234"/>
              <w:spacing w:after="0" w:line="135" w:lineRule="exact"/>
              <w:rPr>
                <w:sz w:val="20"/>
                <w:szCs w:val="20"/>
                <w:color w:val="auto"/>
              </w:rPr>
            </w:pPr>
            <w:r>
              <w:rPr>
                <w:rFonts w:ascii="Times New Roman" w:cs="Times New Roman" w:eastAsia="Times New Roman" w:hAnsi="Times New Roman"/>
                <w:sz w:val="13"/>
                <w:szCs w:val="13"/>
                <w:b w:val="1"/>
                <w:bCs w:val="1"/>
                <w:color w:val="auto"/>
              </w:rPr>
              <w:t>of</w:t>
            </w:r>
          </w:p>
        </w:tc>
        <w:tc>
          <w:tcPr>
            <w:tcW w:w="140" w:type="dxa"/>
            <w:vAlign w:val="bottom"/>
          </w:tcPr>
          <w:p>
            <w:pPr>
              <w:spacing w:after="0"/>
              <w:rPr>
                <w:sz w:val="11"/>
                <w:szCs w:val="11"/>
                <w:color w:val="auto"/>
              </w:rPr>
            </w:pPr>
          </w:p>
        </w:tc>
        <w:tc>
          <w:tcPr>
            <w:tcW w:w="7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Modification</w:t>
            </w:r>
          </w:p>
        </w:tc>
        <w:tc>
          <w:tcPr>
            <w:tcW w:w="140" w:type="dxa"/>
            <w:vAlign w:val="bottom"/>
          </w:tcPr>
          <w:p>
            <w:pPr>
              <w:spacing w:after="0"/>
              <w:rPr>
                <w:sz w:val="11"/>
                <w:szCs w:val="11"/>
                <w:color w:val="auto"/>
              </w:rPr>
            </w:pPr>
          </w:p>
        </w:tc>
        <w:tc>
          <w:tcPr>
            <w:tcW w:w="680" w:type="dxa"/>
            <w:vAlign w:val="bottom"/>
          </w:tcPr>
          <w:p>
            <w:pPr>
              <w:jc w:val="right"/>
              <w:ind w:right="76"/>
              <w:spacing w:after="0" w:line="135" w:lineRule="exact"/>
              <w:rPr>
                <w:sz w:val="20"/>
                <w:szCs w:val="20"/>
                <w:color w:val="auto"/>
              </w:rPr>
            </w:pPr>
            <w:r>
              <w:rPr>
                <w:rFonts w:ascii="Times New Roman" w:cs="Times New Roman" w:eastAsia="Times New Roman" w:hAnsi="Times New Roman"/>
                <w:sz w:val="13"/>
                <w:szCs w:val="13"/>
                <w:b w:val="1"/>
                <w:bCs w:val="1"/>
                <w:color w:val="auto"/>
              </w:rPr>
              <w:t>Price of</w:t>
            </w: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2"/>
              </w:rPr>
              <w:t>Conversion of</w:t>
            </w:r>
          </w:p>
        </w:tc>
        <w:tc>
          <w:tcPr>
            <w:tcW w:w="1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Amount as of</w:t>
            </w:r>
          </w:p>
        </w:tc>
      </w:tr>
      <w:tr>
        <w:trPr>
          <w:trHeight w:val="128"/>
        </w:trPr>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ind w:right="54"/>
              <w:spacing w:after="0" w:line="128" w:lineRule="exact"/>
              <w:rPr>
                <w:sz w:val="20"/>
                <w:szCs w:val="20"/>
                <w:color w:val="auto"/>
              </w:rPr>
            </w:pPr>
            <w:r>
              <w:rPr>
                <w:rFonts w:ascii="Times New Roman" w:cs="Times New Roman" w:eastAsia="Times New Roman" w:hAnsi="Times New Roman"/>
                <w:sz w:val="13"/>
                <w:szCs w:val="13"/>
                <w:b w:val="1"/>
                <w:bCs w:val="1"/>
                <w:color w:val="auto"/>
              </w:rPr>
              <w:t>of Shares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Issue Price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right"/>
              <w:ind w:right="14"/>
              <w:spacing w:after="0" w:line="128" w:lineRule="exact"/>
              <w:rPr>
                <w:sz w:val="20"/>
                <w:szCs w:val="20"/>
                <w:color w:val="auto"/>
              </w:rPr>
            </w:pPr>
            <w:r>
              <w:rPr>
                <w:rFonts w:ascii="Times New Roman" w:cs="Times New Roman" w:eastAsia="Times New Roman" w:hAnsi="Times New Roman"/>
                <w:sz w:val="13"/>
                <w:szCs w:val="13"/>
                <w:b w:val="1"/>
                <w:bCs w:val="1"/>
                <w:color w:val="auto"/>
                <w:w w:val="99"/>
              </w:rPr>
              <w:t>Preferred</w:t>
            </w:r>
          </w:p>
        </w:tc>
        <w:tc>
          <w:tcPr>
            <w:tcW w:w="140" w:type="dxa"/>
            <w:vAlign w:val="bottom"/>
          </w:tcPr>
          <w:p>
            <w:pPr>
              <w:spacing w:after="0"/>
              <w:rPr>
                <w:sz w:val="11"/>
                <w:szCs w:val="11"/>
                <w:color w:val="auto"/>
              </w:rPr>
            </w:pPr>
          </w:p>
        </w:tc>
        <w:tc>
          <w:tcPr>
            <w:tcW w:w="70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of Preferred</w:t>
            </w:r>
          </w:p>
        </w:tc>
        <w:tc>
          <w:tcPr>
            <w:tcW w:w="140" w:type="dxa"/>
            <w:vAlign w:val="bottom"/>
          </w:tcPr>
          <w:p>
            <w:pPr>
              <w:spacing w:after="0"/>
              <w:rPr>
                <w:sz w:val="11"/>
                <w:szCs w:val="11"/>
                <w:color w:val="auto"/>
              </w:rPr>
            </w:pPr>
          </w:p>
        </w:tc>
        <w:tc>
          <w:tcPr>
            <w:tcW w:w="680" w:type="dxa"/>
            <w:vAlign w:val="bottom"/>
          </w:tcPr>
          <w:p>
            <w:pPr>
              <w:jc w:val="right"/>
              <w:ind w:right="16"/>
              <w:spacing w:after="0" w:line="12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40" w:type="dxa"/>
            <w:vAlign w:val="bottom"/>
          </w:tcPr>
          <w:p>
            <w:pPr>
              <w:spacing w:after="0"/>
              <w:rPr>
                <w:sz w:val="11"/>
                <w:szCs w:val="11"/>
                <w:color w:val="auto"/>
              </w:rPr>
            </w:pPr>
          </w:p>
        </w:tc>
        <w:tc>
          <w:tcPr>
            <w:tcW w:w="760" w:type="dxa"/>
            <w:vAlign w:val="bottom"/>
          </w:tcPr>
          <w:p>
            <w:pPr>
              <w:jc w:val="right"/>
              <w:ind w:right="55"/>
              <w:spacing w:after="0" w:line="12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20" w:type="dxa"/>
            <w:vAlign w:val="bottom"/>
          </w:tcPr>
          <w:p>
            <w:pPr>
              <w:spacing w:after="0"/>
              <w:rPr>
                <w:sz w:val="11"/>
                <w:szCs w:val="11"/>
                <w:color w:val="auto"/>
              </w:rPr>
            </w:pPr>
          </w:p>
        </w:tc>
        <w:tc>
          <w:tcPr>
            <w:tcW w:w="800" w:type="dxa"/>
            <w:vAlign w:val="bottom"/>
          </w:tcPr>
          <w:p>
            <w:pPr>
              <w:ind w:left="40"/>
              <w:spacing w:after="0" w:line="128" w:lineRule="exact"/>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62"/>
        </w:trPr>
        <w:tc>
          <w:tcPr>
            <w:tcW w:w="720" w:type="dxa"/>
            <w:vAlign w:val="bottom"/>
          </w:tcPr>
          <w:p>
            <w:pPr>
              <w:spacing w:after="0"/>
              <w:rPr>
                <w:sz w:val="14"/>
                <w:szCs w:val="14"/>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Date of Issuance</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Outstanding</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per Share</w:t>
            </w:r>
          </w:p>
        </w:tc>
        <w:tc>
          <w:tcPr>
            <w:tcW w:w="20" w:type="dxa"/>
            <w:vAlign w:val="bottom"/>
          </w:tcPr>
          <w:p>
            <w:pPr>
              <w:spacing w:after="0"/>
              <w:rPr>
                <w:sz w:val="14"/>
                <w:szCs w:val="14"/>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34"/>
              <w:spacing w:after="0" w:line="162" w:lineRule="exact"/>
              <w:rPr>
                <w:sz w:val="20"/>
                <w:szCs w:val="20"/>
                <w:color w:val="auto"/>
              </w:rPr>
            </w:pPr>
            <w:r>
              <w:rPr>
                <w:rFonts w:ascii="Times New Roman" w:cs="Times New Roman" w:eastAsia="Times New Roman" w:hAnsi="Times New Roman"/>
                <w:sz w:val="13"/>
                <w:szCs w:val="13"/>
                <w:b w:val="1"/>
                <w:bCs w:val="1"/>
                <w:color w:val="auto"/>
                <w:w w:val="94"/>
              </w:rPr>
              <w:t xml:space="preserve">Shares </w:t>
            </w:r>
            <w:r>
              <w:rPr>
                <w:rFonts w:ascii="Times New Roman" w:cs="Times New Roman" w:eastAsia="Times New Roman" w:hAnsi="Times New Roman"/>
                <w:sz w:val="18"/>
                <w:szCs w:val="18"/>
                <w:b w:val="1"/>
                <w:bCs w:val="1"/>
                <w:color w:val="auto"/>
                <w:w w:val="94"/>
                <w:vertAlign w:val="superscript"/>
              </w:rPr>
              <w:t>(1)</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center"/>
              <w:spacing w:after="0" w:line="162" w:lineRule="exact"/>
              <w:rPr>
                <w:sz w:val="20"/>
                <w:szCs w:val="20"/>
                <w:color w:val="auto"/>
              </w:rPr>
            </w:pPr>
            <w:r>
              <w:rPr>
                <w:rFonts w:ascii="Times New Roman" w:cs="Times New Roman" w:eastAsia="Times New Roman" w:hAnsi="Times New Roman"/>
                <w:sz w:val="13"/>
                <w:szCs w:val="13"/>
                <w:b w:val="1"/>
                <w:bCs w:val="1"/>
                <w:color w:val="auto"/>
                <w:w w:val="91"/>
              </w:rPr>
              <w:t xml:space="preserve">Shares </w:t>
            </w:r>
            <w:r>
              <w:rPr>
                <w:rFonts w:ascii="Times New Roman" w:cs="Times New Roman" w:eastAsia="Times New Roman" w:hAnsi="Times New Roman"/>
                <w:sz w:val="18"/>
                <w:szCs w:val="18"/>
                <w:b w:val="1"/>
                <w:bCs w:val="1"/>
                <w:color w:val="auto"/>
                <w:w w:val="91"/>
                <w:vertAlign w:val="superscript"/>
              </w:rPr>
              <w:t>(2)</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Shares</w:t>
            </w:r>
          </w:p>
        </w:tc>
        <w:tc>
          <w:tcPr>
            <w:tcW w:w="900" w:type="dxa"/>
            <w:vAlign w:val="bottom"/>
            <w:gridSpan w:val="2"/>
          </w:tcPr>
          <w:p>
            <w:pPr>
              <w:jc w:val="right"/>
              <w:ind w:right="75"/>
              <w:spacing w:after="0" w:line="162"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8"/>
                <w:szCs w:val="18"/>
                <w:b w:val="1"/>
                <w:bCs w:val="1"/>
                <w:color w:val="auto"/>
                <w:vertAlign w:val="superscript"/>
              </w:rPr>
              <w:t>(3)</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2024 and 2025</w:t>
            </w:r>
          </w:p>
        </w:tc>
      </w:tr>
      <w:tr>
        <w:trPr>
          <w:trHeight w:val="142"/>
        </w:trPr>
        <w:tc>
          <w:tcPr>
            <w:tcW w:w="7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Series A</w:t>
            </w:r>
          </w:p>
        </w:tc>
        <w:tc>
          <w:tcPr>
            <w:tcW w:w="24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2017/3/3</w:t>
            </w:r>
          </w:p>
        </w:tc>
        <w:tc>
          <w:tcPr>
            <w:tcW w:w="1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34,362,468</w:t>
            </w: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0.4323</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693</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0.4323</w:t>
            </w: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(15,357)</w:t>
            </w: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ind w:left="620"/>
              <w:spacing w:after="0" w:line="142" w:lineRule="exact"/>
              <w:rPr>
                <w:sz w:val="20"/>
                <w:szCs w:val="20"/>
                <w:color w:val="auto"/>
              </w:rPr>
            </w:pPr>
            <w:r>
              <w:rPr>
                <w:rFonts w:ascii="Times New Roman" w:cs="Times New Roman" w:eastAsia="Times New Roman" w:hAnsi="Times New Roman"/>
                <w:sz w:val="13"/>
                <w:szCs w:val="13"/>
                <w:color w:val="auto"/>
              </w:rPr>
              <w:t>—</w:t>
            </w:r>
          </w:p>
        </w:tc>
      </w:tr>
      <w:tr>
        <w:trPr>
          <w:trHeight w:val="148"/>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Series B</w:t>
            </w:r>
          </w:p>
        </w:tc>
        <w:tc>
          <w:tcPr>
            <w:tcW w:w="174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2017/12/28</w:t>
            </w:r>
          </w:p>
        </w:tc>
        <w:tc>
          <w:tcPr>
            <w:tcW w:w="18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44,758,365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1.7319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1.7319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(81,020)</w:t>
            </w:r>
          </w:p>
        </w:tc>
        <w:tc>
          <w:tcPr>
            <w:tcW w:w="120" w:type="dxa"/>
            <w:vAlign w:val="bottom"/>
          </w:tcPr>
          <w:p>
            <w:pPr>
              <w:spacing w:after="0"/>
              <w:rPr>
                <w:sz w:val="12"/>
                <w:szCs w:val="12"/>
                <w:color w:val="auto"/>
              </w:rPr>
            </w:pPr>
          </w:p>
        </w:tc>
        <w:tc>
          <w:tcPr>
            <w:tcW w:w="80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B+</w:t>
            </w:r>
          </w:p>
        </w:tc>
        <w:tc>
          <w:tcPr>
            <w:tcW w:w="17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2018/6/27, 2019/11/22</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27,428,047</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3.6673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3.6673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(112,558)</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Series B2</w:t>
            </w:r>
          </w:p>
        </w:tc>
        <w:tc>
          <w:tcPr>
            <w:tcW w:w="174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2019/4/11</w:t>
            </w:r>
          </w:p>
        </w:tc>
        <w:tc>
          <w:tcPr>
            <w:tcW w:w="18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10,478,885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6.5196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6.5196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(71,822)</w:t>
            </w:r>
          </w:p>
        </w:tc>
        <w:tc>
          <w:tcPr>
            <w:tcW w:w="120" w:type="dxa"/>
            <w:vAlign w:val="bottom"/>
          </w:tcPr>
          <w:p>
            <w:pPr>
              <w:spacing w:after="0"/>
              <w:rPr>
                <w:sz w:val="12"/>
                <w:szCs w:val="12"/>
                <w:color w:val="auto"/>
              </w:rPr>
            </w:pPr>
          </w:p>
        </w:tc>
        <w:tc>
          <w:tcPr>
            <w:tcW w:w="80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C</w:t>
            </w:r>
          </w:p>
        </w:tc>
        <w:tc>
          <w:tcPr>
            <w:tcW w:w="17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2020/3/13, 2021/6/22</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57,896,414</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9.4220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29,412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9.4220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(588,499)</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auto"/>
              </w:rPr>
              <w:t>Series C+</w:t>
            </w:r>
          </w:p>
        </w:tc>
        <w:tc>
          <w:tcPr>
            <w:tcW w:w="174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2020/11/16, 2021/1/13</w:t>
            </w:r>
          </w:p>
        </w:tc>
        <w:tc>
          <w:tcPr>
            <w:tcW w:w="18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16,161,021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15.4687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13,479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119,430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10.7134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(382,793)</w:t>
            </w:r>
          </w:p>
        </w:tc>
        <w:tc>
          <w:tcPr>
            <w:tcW w:w="120" w:type="dxa"/>
            <w:vAlign w:val="bottom"/>
          </w:tcPr>
          <w:p>
            <w:pPr>
              <w:spacing w:after="0"/>
              <w:rPr>
                <w:sz w:val="12"/>
                <w:szCs w:val="12"/>
                <w:color w:val="auto"/>
              </w:rPr>
            </w:pPr>
          </w:p>
        </w:tc>
        <w:tc>
          <w:tcPr>
            <w:tcW w:w="80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w:t>
            </w:r>
          </w:p>
        </w:tc>
      </w:tr>
      <w:tr>
        <w:trPr>
          <w:trHeight w:val="136"/>
        </w:trPr>
        <w:tc>
          <w:tcPr>
            <w:tcW w:w="720" w:type="dxa"/>
            <w:vAlign w:val="bottom"/>
            <w:shd w:val="clear" w:color="auto" w:fill="CCEEFF"/>
          </w:tcPr>
          <w:p>
            <w:pPr>
              <w:spacing w:after="0"/>
              <w:rPr>
                <w:sz w:val="11"/>
                <w:szCs w:val="11"/>
                <w:color w:val="auto"/>
              </w:rPr>
            </w:pPr>
          </w:p>
        </w:tc>
        <w:tc>
          <w:tcPr>
            <w:tcW w:w="1740" w:type="dxa"/>
            <w:vAlign w:val="bottom"/>
            <w:gridSpan w:val="3"/>
            <w:shd w:val="clear" w:color="auto" w:fill="CCEEFF"/>
          </w:tcPr>
          <w:p>
            <w:pPr>
              <w:ind w:left="240"/>
              <w:spacing w:after="0" w:line="136" w:lineRule="exact"/>
              <w:rPr>
                <w:sz w:val="20"/>
                <w:szCs w:val="20"/>
                <w:color w:val="auto"/>
              </w:rPr>
            </w:pPr>
            <w:r>
              <w:rPr>
                <w:rFonts w:ascii="Times New Roman" w:cs="Times New Roman" w:eastAsia="Times New Roman" w:hAnsi="Times New Roman"/>
                <w:sz w:val="13"/>
                <w:szCs w:val="13"/>
                <w:color w:val="auto"/>
              </w:rPr>
              <w:t>2022/2/23, 2022/3/4,</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48"/>
        </w:trPr>
        <w:tc>
          <w:tcPr>
            <w:tcW w:w="720" w:type="dxa"/>
            <w:vAlign w:val="bottom"/>
            <w:shd w:val="clear" w:color="auto" w:fill="CCEEFF"/>
          </w:tcPr>
          <w:p>
            <w:pPr>
              <w:spacing w:after="0"/>
              <w:rPr>
                <w:sz w:val="12"/>
                <w:szCs w:val="12"/>
                <w:color w:val="auto"/>
              </w:rPr>
            </w:pPr>
          </w:p>
        </w:tc>
        <w:tc>
          <w:tcPr>
            <w:tcW w:w="17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2022/12/29, 2023/8/3,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61"/>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D</w:t>
            </w:r>
          </w:p>
        </w:tc>
        <w:tc>
          <w:tcPr>
            <w:tcW w:w="17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2023/8/15, 2023/11/15</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11,614,287</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25.0446</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15,683</w:t>
            </w:r>
          </w:p>
        </w:tc>
        <w:tc>
          <w:tcPr>
            <w:tcW w:w="1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142,042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10.7134</w:t>
            </w:r>
          </w:p>
        </w:tc>
        <w:tc>
          <w:tcPr>
            <w:tcW w:w="14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(443,255)</w:t>
            </w:r>
          </w:p>
        </w:tc>
        <w:tc>
          <w:tcPr>
            <w:tcW w:w="12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r>
      <w:tr>
        <w:trPr>
          <w:trHeight w:val="142"/>
        </w:trPr>
        <w:tc>
          <w:tcPr>
            <w:tcW w:w="72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202,699,487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72,554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261,472</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(1,695,304)</w:t>
            </w:r>
          </w:p>
        </w:tc>
        <w:tc>
          <w:tcPr>
            <w:tcW w:w="120" w:type="dxa"/>
            <w:vAlign w:val="bottom"/>
          </w:tcPr>
          <w:p>
            <w:pPr>
              <w:spacing w:after="0"/>
              <w:rPr>
                <w:sz w:val="12"/>
                <w:szCs w:val="12"/>
                <w:color w:val="auto"/>
              </w:rPr>
            </w:pPr>
          </w:p>
        </w:tc>
        <w:tc>
          <w:tcPr>
            <w:tcW w:w="800" w:type="dxa"/>
            <w:vAlign w:val="bottom"/>
          </w:tcPr>
          <w:p>
            <w:pPr>
              <w:ind w:left="620"/>
              <w:spacing w:after="0" w:line="142" w:lineRule="exact"/>
              <w:rPr>
                <w:sz w:val="20"/>
                <w:szCs w:val="20"/>
                <w:color w:val="auto"/>
              </w:rPr>
            </w:pPr>
            <w:r>
              <w:rPr>
                <w:rFonts w:ascii="Times New Roman" w:cs="Times New Roman" w:eastAsia="Times New Roman" w:hAnsi="Times New Roman"/>
                <w:sz w:val="13"/>
                <w:szCs w:val="13"/>
                <w:color w:val="auto"/>
              </w:rPr>
              <w:t>—</w:t>
            </w:r>
          </w:p>
        </w:tc>
      </w:tr>
      <w:tr>
        <w:trPr>
          <w:trHeight w:val="20"/>
        </w:trPr>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95"/>
        </w:trPr>
        <w:tc>
          <w:tcPr>
            <w:tcW w:w="7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r>
    </w:tbl>
    <w:p>
      <w:pPr>
        <w:spacing w:after="0" w:line="61" w:lineRule="exact"/>
        <w:rPr>
          <w:sz w:val="20"/>
          <w:szCs w:val="20"/>
          <w:color w:val="auto"/>
        </w:rPr>
      </w:pPr>
    </w:p>
    <w:p>
      <w:pPr>
        <w:ind w:left="980" w:hanging="324"/>
        <w:spacing w:after="0"/>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 to note 12 convertible redeemable Preferred Shares - </w:t>
      </w:r>
      <w:r>
        <w:rPr>
          <w:rFonts w:ascii="Times New Roman" w:cs="Times New Roman" w:eastAsia="Times New Roman" w:hAnsi="Times New Roman"/>
          <w:sz w:val="18"/>
          <w:szCs w:val="18"/>
          <w:i w:val="1"/>
          <w:iCs w:val="1"/>
          <w:color w:val="auto"/>
        </w:rPr>
        <w:t>Accounting of Preferred Shares</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 to note 12 convertible redeemable Preferred Shares - </w:t>
      </w:r>
      <w:r>
        <w:rPr>
          <w:rFonts w:ascii="Times New Roman" w:cs="Times New Roman" w:eastAsia="Times New Roman" w:hAnsi="Times New Roman"/>
          <w:sz w:val="18"/>
          <w:szCs w:val="18"/>
          <w:i w:val="1"/>
          <w:iCs w:val="1"/>
          <w:color w:val="auto"/>
        </w:rPr>
        <w:t>Modification of Preferred Shares</w:t>
      </w:r>
    </w:p>
    <w:p>
      <w:pPr>
        <w:spacing w:after="0" w:line="17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completion of IPO in 2024, all the Preferred Shares converted into ordinary shares of the Company. Refer to note 11.</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key terms of the Preferred Shares are as follows: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w:t>
      </w:r>
    </w:p>
    <w:p>
      <w:pPr>
        <w:spacing w:after="0" w:line="18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Preferred Shares are convertible at any time, at the option of the holders, into Class A ordinary shares at the applicable conversion ratio by dividing the original issuance price by the conversion price, as adjusted. Each share of Preferred Shares automatically converts into Class A ordinary share upon the earlier of (i) the closing of a QIPO or (ii) the date specified by written consent or agreement of a majority of the holders of each series of Preferred Shares. A QIPO means a firm commitment underwritten public offering of the ordinary shares of the Group in the U.S. (or another jurisdiction) pursuant to an effective registration statement under the U.S. Securities Act of 1933, as amended, that values the Group at $4.0 billion or more and that results in gross proceeds to the Group of at least $200.0 million, based on the amendment of Memorandum and Articles of Association of the Group in September 2024.</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Based on the amendment of Memorandum and Articles of Association of the Company in September 2024, all Preferred Shares were redeemable at any time and from time to time on or after the earlier date of the occurrence of (i) a QIPO has occurred prior to December 28, 2027; (ii) the unilateral termination of either the chief executive officer or the chief technology officer of his employment before December 28, 2024 and occurrence of a QIPO; or (iii) breaches by the Company that have not been cured, upon receipt of a written request from any holder of the then-outstanding Preferred Shares, the Company shall redeem all, or part, of the outstanding Preferred Shares.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right="3820" w:hanging="652"/>
        <w:spacing w:after="0" w:line="503" w:lineRule="auto"/>
        <w:tabs>
          <w:tab w:leader="none" w:pos="6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CONVERTIBLE REDEEMABLE PREFERRED SHARES </w:t>
      </w:r>
      <w:r>
        <w:rPr>
          <w:rFonts w:ascii="Times New Roman" w:cs="Times New Roman" w:eastAsia="Times New Roman" w:hAnsi="Times New Roman"/>
          <w:sz w:val="18"/>
          <w:szCs w:val="18"/>
          <w:color w:val="auto"/>
        </w:rPr>
        <w:t>– 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 xml:space="preserve">Redemption right </w:t>
      </w:r>
      <w:r>
        <w:rPr>
          <w:rFonts w:ascii="Times New Roman" w:cs="Times New Roman" w:eastAsia="Times New Roman" w:hAnsi="Times New Roman"/>
          <w:sz w:val="18"/>
          <w:szCs w:val="18"/>
          <w:color w:val="auto"/>
        </w:rPr>
        <w:t>– continued</w:t>
      </w: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redemption price of Series A Preferred Shares shall be one hundred percent (100%) of the issue price of Series A Preferred Shares plus interest calculated at a five percent (5%) compound interest rate. The redemption price of Series B, B+, B2, C, C+, D Preferred Shares shall be one hundred percent (100%) of the issue price of Preferred Shares plus interest calculated at an eight percent (8%) simple interest rate.</w:t>
      </w:r>
    </w:p>
    <w:p>
      <w:pPr>
        <w:spacing w:after="0" w:line="1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the Preferred Shares are entitled to vote on all matters and are entitled to the number of votes equal to the number of Class A ordinary shares into which each share of the Preferred Shares is then convertible.</w:t>
      </w:r>
    </w:p>
    <w:p>
      <w:pPr>
        <w:spacing w:after="0" w:line="15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holder of the Preferred Shares is entitled to receive noncumulative dividends at a simple rate of 8% of the Preferred Shares issue price per annum when, as, and if declared by the Board, prior and in preference to any dividend on the ordinary shares. Any remaining dividends shall be paid to the holders of the Preferred Shares and the ordinary shares on an as-converted basis. To date, the Board has not declared any such dividends.</w:t>
      </w:r>
    </w:p>
    <w:p>
      <w:pPr>
        <w:spacing w:after="0" w:line="1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Liquidation rights</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any liquidation, dissolution, or winding-up of the Group, whether voluntary or involuntary, all assets and funds of the Group shall be distributed to the shareholders in the following manner and order:</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holder of the Preferred Shares shall be entitled to receive, prior and in preference to any distribution to the holders of any previous Preferred Shares and ordinary shares, the amount equal to the greater of (i) an amount equal to 150% of the Preferred Shares issue price, plus all declared but unpaid dividends or (ii) the pro rata share of all the liquidation proceeds calculated based on an as-converted basis as if all of the Preferred Shares converted into ordinary shares immediately prior to such liquidation. After distributing in full the liquidation preference amount to all the holders of the Preferred Shares, the remaining funds, if any, shall be distributed to the holders of the ordinary shares.</w:t>
      </w:r>
    </w:p>
    <w:p>
      <w:pPr>
        <w:spacing w:after="0" w:line="18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Accounting of Preferred Shares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classified the Preferred Shares in the mezzanine equity on the consolidated balance sheets as they are contingently redeemable at the options of the holders. Each issuance of the Preferred Shares is recorded at the respective fair value at the date of issuance net of issuance costs. The issuance costs for Series A, Series B, Series B+, Series B2, Series C, Series C+ and Series D Preferred Shares were $0.2 million, $0.4 million, $0.4 million, $0.2 million, $2.0 million, $0.1 million and $0.5 million, respectively.</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determined that there was no beneficial conversion feature attributable to the Preferred Shares because the initial effective conversion prices of these Preferred Shares were higher than the fair value of the Group’s ordinary shares determined by the Group taking into account of independent valuations.</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records accretion on the Preferred Shares to the redemption value from the date that it becomes probable that the instrument will become redeemable to the earliest redemption dates. The accretion calculates using the effective interest method, is recorded against retained earnings, or in the absence of retained earnings, by charging against additional paid-in capital. Once additional paid-in capital has been exhausted, additional charges are recorded by increasing the accumulated deficit. Before 2024, redemption is not considered probable.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right="3820" w:hanging="652"/>
        <w:spacing w:after="0" w:line="503" w:lineRule="auto"/>
        <w:tabs>
          <w:tab w:leader="none" w:pos="6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CONVERTIBLE REDEEMABLE PREFERRED SHARES </w:t>
      </w:r>
      <w:r>
        <w:rPr>
          <w:rFonts w:ascii="Times New Roman" w:cs="Times New Roman" w:eastAsia="Times New Roman" w:hAnsi="Times New Roman"/>
          <w:sz w:val="18"/>
          <w:szCs w:val="18"/>
          <w:color w:val="auto"/>
        </w:rPr>
        <w:t>– 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Modification of Preferred Shares</w:t>
      </w: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September 2024, the Group held an Extraordinary General Meeting to approve the eighth amended and restated Memorandum and Articles of Association, through which the Group modified terms of the outstanding Preferred Shares as follow:</w:t>
      </w:r>
    </w:p>
    <w:p>
      <w:pPr>
        <w:spacing w:after="0" w:line="175" w:lineRule="exact"/>
        <w:rPr>
          <w:rFonts w:ascii="Times New Roman" w:cs="Times New Roman" w:eastAsia="Times New Roman" w:hAnsi="Times New Roman"/>
          <w:sz w:val="18"/>
          <w:szCs w:val="18"/>
          <w:b w:val="1"/>
          <w:bCs w:val="1"/>
          <w:color w:val="auto"/>
        </w:rPr>
      </w:pPr>
    </w:p>
    <w:p>
      <w:pPr>
        <w:ind w:left="1000" w:right="220" w:hanging="317"/>
        <w:spacing w:after="0" w:line="261" w:lineRule="auto"/>
        <w:tabs>
          <w:tab w:leader="none" w:pos="10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revising the minimum QIPO valuation from $8.5 billion to $4.0 billion, and minimum QIPO gross proceeds from $425.0 million to $200.0 million;</w:t>
      </w:r>
    </w:p>
    <w:p>
      <w:pPr>
        <w:ind w:left="1000" w:right="140" w:hanging="317"/>
        <w:spacing w:after="0" w:line="250" w:lineRule="auto"/>
        <w:tabs>
          <w:tab w:leader="none" w:pos="10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QIPO date provided in the terms on Preferred Shares redemption rights from prior to December 28, 2024 to prior to December 28, 2027;</w:t>
      </w:r>
    </w:p>
    <w:p>
      <w:pPr>
        <w:ind w:left="1000" w:right="220" w:hanging="317"/>
        <w:spacing w:after="0" w:line="260" w:lineRule="auto"/>
        <w:tabs>
          <w:tab w:leader="none" w:pos="10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revising initial conversion price of Series C+ and Series D Preferred Shares from the Series C+’s and Series D’s issuance price to $10.7134 per share, which impacted all shareholders in both series.</w:t>
      </w:r>
    </w:p>
    <w:p>
      <w:pPr>
        <w:spacing w:after="0" w:line="181"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The Group evaluated the nature of modification by applying the fair value approach, and concluded that the impact of the modification on the existing Series A, Series B, Series B+, Series B2 and Series C Preferred Shares, respectively, was not significant quantitatively, and therefore should be accounted for as modification, rather than extinguishment. As the modification resulted in decreases in the fair value of existing Series A, Series B, Series B+, Series B2 and Series C Preferred Shares, the changes in fair value were not recognized. The Group further concluded that the impact of the modification on the existing Series C+ and Series D Preferred Shares, respectively, was significant both qualitatively and quantitatively, and should be accounted for as extinguishment of the Preferred Shares - i.e., a redemption of the existing instruments and issuance of “new” instruments. The difference of $261.5 million between the fair value of the modified Series C+ and Series D Preferred Shares (new instruments) and the carrying value of the existing Series C+ and Series D Preferred Shares (old instruments) was recognized as a deemed dividend, within accumulated deficit. Because the modifications involved the entire class of shareholders for Series C+ and Series D, respectively, the Group concluded the incremental fair value is a dividend (a pro rata distribution).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Series D Warrants</w:t>
      </w:r>
    </w:p>
    <w:p>
      <w:pPr>
        <w:spacing w:after="0" w:line="227"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freestanding warrants to purchase the Preferred Shares at a future date were determined to be freestanding instruments that were accounted for as liabilities. At initial recognition, the Group recorded the warrants liability on the consolidated balance sheets at their estimated fair value and changes in estimated fair values were included in the changes in fair value of warrants liability on the consolidated statements of operations and comprehensive loss. The warrants liability is subject to remeasurement at each reporting period and the Group adjusted the carrying value of the warrants liability to fair value at the end of each reporting period utilizing an option-pricing model, with changes in estimated fair value of warrants liability disclosed on the consolidated statements of operations and comprehensive loss.</w:t>
      </w:r>
    </w:p>
    <w:p>
      <w:pPr>
        <w:spacing w:after="0" w:line="18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March 2022, the Group also entered into share and warrant purchase agreements with an investment fund, under which the investment fund shall have the right to purchase 998,219 Series D Preferred Shares at Series D’s issuance price of $25.0446 per share, with an aggregate exercise price of $25.0 million. The warrant is classified as a liability and recorded at fair value with changes in fair value recorded on the consolidated statements of operations and comprehensive loss. The proceeds are first allocated to the warrant based on its fair value, with residual being allocated to the carrying amounts of Series D Preferred Shares. The warrant was expired on March 4, 2024 and the balance is nil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hanging="652"/>
        <w:spacing w:after="0"/>
        <w:tabs>
          <w:tab w:leader="none" w:pos="66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Description of the share incentive plan</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Share-based awards include share options related to Class A ordinary shares granted to employees, RSUs for Class A ordinary shares granted to employees, and restricted stock awards (“RSAs”) for Class B ordinary shares granted to two founders, under the share incentive plan since the inception of the Company.</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November 2016, the Company adopted the Pony AI Inc. 2016 Share Plan (the “2016 Plan”) pursuant to which the Board may grant share-based awards as an incentive. After several share splits and amendments, the number of ordinary shares reserved for issuance under the 2016 Plan has been updated to 58,427,257 ordinary shares since January 2020.</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Share options generally have a 10-year contractual term and vest over a four-year period starting from the date specified in each agreement. The share options will vest in accordance with the vesting schedules set out in the respective share award agreements with vesting period ranging from 2 to 5 years. In addition to the above service condition, certain share options and RSUs also include performance vesting condition which is contingent on the completion of an IPO or a sale event.</w:t>
      </w:r>
    </w:p>
    <w:p>
      <w:pPr>
        <w:spacing w:after="0" w:line="18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In April 2023, based on the share buyback plan (the “Buyback Plan”) approved on March 24, 2022, the Company agreed to buy back from certain eligible employees all or a portion of their RSUs and share options, including 232,608 RSUs and 75,275 share options, respectively, at a per share purchase price of $11.6 (or for the share options, a settlement price at $11.6 minus exercise price as applicable, collectively the “Repurchase/Settlement Price”). For awards vested before the settlement date, the Company paid $3.1 million in cash to settle the vested awards and recorded a reduction to additional paid-in capital of $3.1 million. For certain awards with performance vesting condition which is contingent on the completion of an IPO or a sale event, such awards were considered not probable of vesting as of the settlement date, accordingly, the entire settlement price paid was charged to compensation expenses amounted to $0.5 million, which is included in R&amp;D expenses and selling, general and administrative expenses on the consolidated statements of operations and comprehensive loss.</w:t>
      </w:r>
    </w:p>
    <w:p>
      <w:pPr>
        <w:spacing w:after="0" w:line="18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March 2023 and 2024, the Company and certain optionees reached an agreement to exchange their share options with RSUs, at the fixed fair value basis of these share options on the exchange date. As a result, 3,028,913 RSUs and 2,195,928 RSUs were newly granted for the exchange of 3,104,234 and 2,223,175 share options, respectively. As the terms and the fair value of the awards are identical before and after the exchange, there is no impact on the consolidated financial statements.</w:t>
      </w:r>
    </w:p>
    <w:p>
      <w:pPr>
        <w:spacing w:after="0" w:line="18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a total of 918,320 RSUs were withheld by the Company as a result of net share settlements to satisfy certain employees’ income tax obligations. The Company paid $12.6 million (equal to the fair value of these RSUs on the settlement dates) to settle the employees’ tax obligations related to the RSUs withheld, which is charged directly to the additional paid-in capital. These net share settlements had the effect of share repurchases by the Company as they reduced the number of shares that would have otherwise been issued as a result of the vesting.</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 Share option activities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share option activities for the year ended December 31, 2025 is as follows:</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rPr>
              <w:t>Weighted</w:t>
            </w:r>
          </w:p>
        </w:tc>
        <w:tc>
          <w:tcPr>
            <w:tcW w:w="1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Weighted</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31F20"/>
              </w:rPr>
              <w:t>Average</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231F20"/>
              </w:rPr>
              <w:t>Number of</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31F20"/>
              </w:rPr>
              <w:t>Average</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31F20"/>
              </w:rPr>
              <w:t>Remaining</w:t>
            </w:r>
          </w:p>
        </w:tc>
        <w:tc>
          <w:tcPr>
            <w:tcW w:w="160" w:type="dxa"/>
            <w:vAlign w:val="bottom"/>
          </w:tcPr>
          <w:p>
            <w:pPr>
              <w:spacing w:after="0"/>
              <w:rPr>
                <w:sz w:val="12"/>
                <w:szCs w:val="12"/>
                <w:color w:val="auto"/>
              </w:rPr>
            </w:pPr>
          </w:p>
        </w:tc>
        <w:tc>
          <w:tcPr>
            <w:tcW w:w="92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231F20"/>
              </w:rPr>
              <w:t>Aggregate</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31F20"/>
              </w:rPr>
              <w:t>Exercise</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31F20"/>
                <w:w w:val="99"/>
              </w:rPr>
              <w:t>Life</w:t>
            </w: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218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231F20"/>
              </w:rPr>
              <w:t>​​​Share Options ​​​</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Price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231F20"/>
              </w:rPr>
              <w:t>​​​(in Years)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231F20"/>
              </w:rPr>
              <w:t>​​​Intrinsic Value</w:t>
            </w: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Outstanding as of December 31, 2024</w:t>
            </w:r>
          </w:p>
        </w:tc>
        <w:tc>
          <w:tcPr>
            <w:tcW w:w="1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8,773,669</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0.53</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3.33</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121,224</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231F20"/>
              </w:rPr>
              <w:t>Granted</w:t>
            </w:r>
          </w:p>
        </w:tc>
        <w:tc>
          <w:tcPr>
            <w:tcW w:w="1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100,915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5.60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Exercised</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(7,236,779)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0.43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231F20"/>
              </w:rPr>
              <w:t>Forfeited or expired</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(16,800)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1.76</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Outstanding as of December 31, 2025</w:t>
            </w:r>
          </w:p>
        </w:tc>
        <w:tc>
          <w:tcPr>
            <w:tcW w:w="1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1,621,005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1.31</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3.76</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21,379</w:t>
            </w:r>
          </w:p>
        </w:tc>
        <w:tc>
          <w:tcPr>
            <w:tcW w:w="0" w:type="dxa"/>
            <w:vAlign w:val="bottom"/>
          </w:tcPr>
          <w:p>
            <w:pPr>
              <w:spacing w:after="0"/>
              <w:rPr>
                <w:sz w:val="1"/>
                <w:szCs w:val="1"/>
                <w:color w:val="auto"/>
              </w:rPr>
            </w:pPr>
          </w:p>
        </w:tc>
      </w:tr>
      <w:tr>
        <w:trPr>
          <w:trHeight w:val="209"/>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Exercisable as of December 31, 2025</w:t>
            </w:r>
          </w:p>
        </w:tc>
        <w:tc>
          <w:tcPr>
            <w:tcW w:w="11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1,520,092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1.03</w:t>
            </w: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3.39</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20,481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hanging="652"/>
        <w:spacing w:after="0"/>
        <w:tabs>
          <w:tab w:leader="none" w:pos="6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SHARE-BASED COMPENSATION </w:t>
      </w:r>
      <w:r>
        <w:rPr>
          <w:rFonts w:ascii="Times New Roman" w:cs="Times New Roman" w:eastAsia="Times New Roman" w:hAnsi="Times New Roman"/>
          <w:sz w:val="18"/>
          <w:szCs w:val="18"/>
          <w:color w:val="auto"/>
        </w:rPr>
        <w:t>– continued</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option activities </w:t>
      </w:r>
      <w:r>
        <w:rPr>
          <w:rFonts w:ascii="Times New Roman" w:cs="Times New Roman" w:eastAsia="Times New Roman" w:hAnsi="Times New Roman"/>
          <w:sz w:val="18"/>
          <w:szCs w:val="18"/>
          <w:color w:val="auto"/>
        </w:rPr>
        <w:t>– continued</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share options vested for the years ended December 31, 2023,2024 and 2025, was $4.9, $1.7 and $1.8, respectively. The total grant date fair value of the share options vested for the years ended December 31, 2023,2024 and 2025, was $0.3 million, $13.7 million and $5.0 million, respectively.</w:t>
      </w:r>
    </w:p>
    <w:p>
      <w:pPr>
        <w:spacing w:after="0" w:line="176"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Cash received from share option exercises under the Plan for the years ended December 31, 2023,2024 and 2025, was $nil, $nil and $2.63 million, respectively.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  RSUs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unvested RSUs for the year ended December 31, 2025 is as follows:</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86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740" w:type="dxa"/>
            <w:vAlign w:val="bottom"/>
            <w:vMerge w:val="restart"/>
          </w:tcPr>
          <w:p>
            <w:pPr>
              <w:ind w:left="66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740" w:type="dxa"/>
            <w:vAlign w:val="bottom"/>
            <w:vMerge w:val="continue"/>
          </w:tcPr>
          <w:p>
            <w:pPr>
              <w:spacing w:after="0"/>
              <w:rPr>
                <w:sz w:val="15"/>
                <w:szCs w:val="15"/>
                <w:color w:val="auto"/>
              </w:rPr>
            </w:pPr>
          </w:p>
        </w:tc>
        <w:tc>
          <w:tcPr>
            <w:tcW w:w="8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2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  Fair Value</w:t>
            </w:r>
          </w:p>
        </w:tc>
        <w:tc>
          <w:tcPr>
            <w:tcW w:w="0" w:type="dxa"/>
            <w:vAlign w:val="bottom"/>
          </w:tcPr>
          <w:p>
            <w:pPr>
              <w:spacing w:after="0"/>
              <w:rPr>
                <w:sz w:val="1"/>
                <w:szCs w:val="1"/>
                <w:color w:val="auto"/>
              </w:rPr>
            </w:pPr>
          </w:p>
        </w:tc>
      </w:tr>
      <w:tr>
        <w:trPr>
          <w:trHeight w:val="209"/>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Unvested as of December 31, 2024</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7,168,226</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13.38</w:t>
            </w:r>
          </w:p>
        </w:tc>
        <w:tc>
          <w:tcPr>
            <w:tcW w:w="0" w:type="dxa"/>
            <w:vAlign w:val="bottom"/>
          </w:tcPr>
          <w:p>
            <w:pPr>
              <w:spacing w:after="0"/>
              <w:rPr>
                <w:sz w:val="1"/>
                <w:szCs w:val="1"/>
                <w:color w:val="auto"/>
              </w:rPr>
            </w:pPr>
          </w:p>
        </w:tc>
      </w:tr>
      <w:tr>
        <w:trPr>
          <w:trHeight w:val="21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4,534,646</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(3,002,479)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(541,496)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Unvested as of December 31, 2025</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8,158,897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 of December 31, 2024 and 2025, the weighted average remaining contractual life of outstanding RSUs were 5.15 years and 8.89 years, respectively. As of December 31, 2024 and 2025, there were 25,339,599 RSUs and 708 RSUs that have been vested but not settled, respectively.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 Valuation</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the share options on the grant date using the Black-Scholes option- pricing model. The Black-Scholes option-pricing model requires estimates of highly subjective assumptions, which greatly affect the fair value of each share option.</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assumptions used to estimate the fair value of the share options with modifications during the years ended December 31, 2023, are as follows:</w:t>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 Option Value Assumptions</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0" w:type="dxa"/>
            <w:vAlign w:val="bottom"/>
          </w:tcPr>
          <w:p>
            <w:pPr>
              <w:spacing w:after="0"/>
              <w:rPr>
                <w:sz w:val="1"/>
                <w:szCs w:val="1"/>
                <w:color w:val="auto"/>
              </w:rPr>
            </w:pPr>
          </w:p>
        </w:tc>
      </w:tr>
      <w:tr>
        <w:trPr>
          <w:trHeight w:val="173"/>
        </w:trPr>
        <w:tc>
          <w:tcPr>
            <w:tcW w:w="68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vMerge w:val="continue"/>
          </w:tcPr>
          <w:p>
            <w:pPr>
              <w:spacing w:after="0"/>
              <w:rPr>
                <w:sz w:val="15"/>
                <w:szCs w:val="15"/>
                <w:color w:val="auto"/>
              </w:rPr>
            </w:pPr>
          </w:p>
        </w:tc>
        <w:tc>
          <w:tcPr>
            <w:tcW w:w="16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 – 1.00</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55.92% – 56.26%</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 – 3.97%</w:t>
            </w:r>
          </w:p>
        </w:tc>
        <w:tc>
          <w:tcPr>
            <w:tcW w:w="0" w:type="dxa"/>
            <w:vAlign w:val="bottom"/>
          </w:tcPr>
          <w:p>
            <w:pPr>
              <w:spacing w:after="0"/>
              <w:rPr>
                <w:sz w:val="1"/>
                <w:szCs w:val="1"/>
                <w:color w:val="auto"/>
              </w:rPr>
            </w:pPr>
          </w:p>
        </w:tc>
      </w:t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0.00%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Expected Term — </w:t>
      </w:r>
      <w:r>
        <w:rPr>
          <w:rFonts w:ascii="Times New Roman" w:cs="Times New Roman" w:eastAsia="Times New Roman" w:hAnsi="Times New Roman"/>
          <w:sz w:val="18"/>
          <w:szCs w:val="18"/>
          <w:color w:val="auto"/>
        </w:rPr>
        <w:t>The expected term represents the period that the share-based awards are expected to be outstanding.</w:t>
      </w:r>
    </w:p>
    <w:p>
      <w:pPr>
        <w:spacing w:after="0" w:line="225"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Expected Volatility — </w:t>
      </w:r>
      <w:r>
        <w:rPr>
          <w:rFonts w:ascii="Times New Roman" w:cs="Times New Roman" w:eastAsia="Times New Roman" w:hAnsi="Times New Roman"/>
          <w:sz w:val="18"/>
          <w:szCs w:val="18"/>
          <w:color w:val="auto"/>
        </w:rPr>
        <w:t>Before the Company’s IPO, the expected volatility is based on the historical and implied volatility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similar companies whose share or share option prices are publicly available after considering the industry, stage of life cycle, size, market capitalization, and financial leverage of the other companies. Since the Company’s IPO in November 2024, the expected volatility is based on the historical volatility of market price of the Company’s public traded shares.</w:t>
      </w:r>
    </w:p>
    <w:p>
      <w:pPr>
        <w:spacing w:after="0" w:line="176"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Risk-Free Interest Rate — </w:t>
      </w:r>
      <w:r>
        <w:rPr>
          <w:rFonts w:ascii="Times New Roman" w:cs="Times New Roman" w:eastAsia="Times New Roman" w:hAnsi="Times New Roman"/>
          <w:sz w:val="18"/>
          <w:szCs w:val="18"/>
          <w:color w:val="auto"/>
        </w:rPr>
        <w:t>The risk-free interest rate used is the constant maturity U.S. Treasury rate corresponding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time to liquidity.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hanging="652"/>
        <w:spacing w:after="0"/>
        <w:tabs>
          <w:tab w:leader="none" w:pos="66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SHARE-BASED COMPENSATION </w:t>
      </w:r>
      <w:r>
        <w:rPr>
          <w:rFonts w:ascii="Times New Roman" w:cs="Times New Roman" w:eastAsia="Times New Roman" w:hAnsi="Times New Roman"/>
          <w:sz w:val="18"/>
          <w:szCs w:val="18"/>
          <w:color w:val="auto"/>
        </w:rPr>
        <w:t>- continued</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Valuation </w:t>
      </w:r>
      <w:r>
        <w:rPr>
          <w:rFonts w:ascii="Times New Roman" w:cs="Times New Roman" w:eastAsia="Times New Roman" w:hAnsi="Times New Roman"/>
          <w:sz w:val="18"/>
          <w:szCs w:val="18"/>
          <w:color w:val="auto"/>
        </w:rPr>
        <w:t>- continued</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Expected Dividend Yield — </w:t>
      </w:r>
      <w:r>
        <w:rPr>
          <w:rFonts w:ascii="Times New Roman" w:cs="Times New Roman" w:eastAsia="Times New Roman" w:hAnsi="Times New Roman"/>
          <w:sz w:val="18"/>
          <w:szCs w:val="18"/>
          <w:color w:val="auto"/>
        </w:rPr>
        <w:t>The expected dividend assumption is based on the Company’s current expectations about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anticipated dividend policy after considering the Company’s dividend-paying capacity, its history of paying dividends, and the amount of its prior dividends.</w:t>
      </w:r>
    </w:p>
    <w:p>
      <w:pPr>
        <w:spacing w:after="0" w:line="17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2023, 2024 and 2025, the share-based compensation expenses were $3.8 million, $127.0 million and $30.8 million, respectively, of which $1.9 million, $102.4 million and $21.1 million, respectively, were included in R&amp;D expenses and $1.9 million, $24.6 million and $9.7 million, respectively, were included in selling, general and administrative expenses on the consolidated statements of operations and comprehensive loss. Of such amounts, $0.3 million, $0.1 million and nil for the years ended December 31, 2023, 2024 and 2025, respectively, relate to granted RSAs.</w:t>
      </w:r>
    </w:p>
    <w:p>
      <w:pPr>
        <w:spacing w:after="0" w:line="18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As of December 31, 2025, the unrecognized share-based compensation expenses related to outstanding unvested non-performance share options and RSUs for employees that are expected to vest were approximately nil and $67.9 million, respectively. The unrecognized share-based compensation expenses are expected to be recognized over a weighted-average period of approximately nil and 3.07 years for share options and RSUs, respectively.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the unrecognized share-based compensation expenses related to the granted RSAs were nil.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share options granted to non-employees during the years ended December 31, 2023, 2024 and 2025.</w:t>
      </w:r>
    </w:p>
    <w:p>
      <w:pPr>
        <w:spacing w:after="0" w:line="221" w:lineRule="exact"/>
        <w:rPr>
          <w:sz w:val="20"/>
          <w:szCs w:val="20"/>
          <w:color w:val="auto"/>
        </w:rPr>
      </w:pPr>
    </w:p>
    <w:p>
      <w:pPr>
        <w:ind w:left="660" w:hanging="652"/>
        <w:spacing w:after="0"/>
        <w:tabs>
          <w:tab w:leader="none" w:pos="66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is registered in the Cayman Islands and mainly operates in two taxable jurisdictions, the Chinese mainland and the U.S. The Group’s loss before income tax for the years ended December 31, 2023, 2024 and 2025, is as follows:</w:t>
      </w:r>
    </w:p>
    <w:p>
      <w:pPr>
        <w:spacing w:after="0" w:line="16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4"/>
          <w:szCs w:val="14"/>
          <w:b w:val="1"/>
          <w:bCs w:val="1"/>
          <w:color w:val="231F20"/>
        </w:rPr>
        <w:t>Year ended December 31,</w:t>
      </w:r>
    </w:p>
    <w:p>
      <w:pPr>
        <w:spacing w:after="0" w:line="12"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6080" w:type="dxa"/>
            <w:vAlign w:val="bottom"/>
            <w:gridSpan w:val="2"/>
          </w:tcPr>
          <w:p>
            <w:pPr>
              <w:ind w:left="59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231F20"/>
              </w:rPr>
              <w:t>2023</w:t>
            </w:r>
          </w:p>
        </w:tc>
        <w:tc>
          <w:tcPr>
            <w:tcW w:w="92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231F20"/>
              </w:rPr>
              <w:t>2024</w:t>
            </w:r>
          </w:p>
        </w:tc>
        <w:tc>
          <w:tcPr>
            <w:tcW w:w="920" w:type="dxa"/>
            <w:vAlign w:val="bottom"/>
            <w:tcBorders>
              <w:top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231F20"/>
              </w:rPr>
              <w:t>2025</w:t>
            </w: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Loss from the Chinese mainland operations</w:t>
            </w:r>
          </w:p>
        </w:tc>
        <w:tc>
          <w:tcPr>
            <w:tcW w:w="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(81,953)</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(170,259)</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(18,221)</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Loss from non - Chinese mainland operations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(104,746)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(58,537)</w:t>
            </w: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Loss before income tax</w:t>
            </w:r>
          </w:p>
        </w:tc>
        <w:tc>
          <w:tcPr>
            <w:tcW w:w="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(125,454)</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(275,005)</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(76,758)</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Income tax benefits applicable to the Chinese mainland operations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Income tax benefits (expenses) applicable to non - Chinese mainland operations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Total income tax benefits (expenses)</w:t>
            </w:r>
          </w:p>
        </w:tc>
        <w:tc>
          <w:tcPr>
            <w:tcW w:w="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1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Cayman Island Tax</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Under the current tax laws of the Cayman Islands, the Group is not subject to tax on its income or capital gains. In addition, payments of dividends and capital in respect of its shares are not subject to taxation and no withholding will be required in the Cayman Islands on the payment of any dividend or capital to any holder of its shares, nor will gains derived from the disposal of its shares be subject to the Cayman Islands income or corporation tax.</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U.S. Corporate Income Tax</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Group’s subsidiary incorporated in the U.S. is subject to income tax in the U.S. at the rate of 21% for the years ended December 31, 2023, 2024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right="7460" w:hanging="652"/>
        <w:spacing w:after="0" w:line="532" w:lineRule="auto"/>
        <w:tabs>
          <w:tab w:leader="none" w:pos="660" w:val="left"/>
        </w:tabs>
        <w:numPr>
          <w:ilvl w:val="0"/>
          <w:numId w:val="1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TAXATION </w:t>
      </w:r>
      <w:r>
        <w:rPr>
          <w:rFonts w:ascii="Times New Roman" w:cs="Times New Roman" w:eastAsia="Times New Roman" w:hAnsi="Times New Roman"/>
          <w:sz w:val="17"/>
          <w:szCs w:val="17"/>
          <w:color w:val="auto"/>
        </w:rPr>
        <w:t>- continued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Hong Kong Tax</w:t>
      </w:r>
    </w:p>
    <w:p>
      <w:pPr>
        <w:spacing w:after="0" w:line="1" w:lineRule="exact"/>
        <w:rPr>
          <w:rFonts w:ascii="Times New Roman" w:cs="Times New Roman" w:eastAsia="Times New Roman" w:hAnsi="Times New Roman"/>
          <w:sz w:val="17"/>
          <w:szCs w:val="17"/>
          <w:b w:val="1"/>
          <w:bCs w:val="1"/>
          <w:color w:val="auto"/>
        </w:rPr>
      </w:pPr>
    </w:p>
    <w:p>
      <w:pPr>
        <w:jc w:val="both"/>
        <w:ind w:left="66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Under the current Hong Kong Inland Revenue Ordinance, from the year of assessment 2018/2019 onwards, the subsidiary in Hong Kong are subject to profit tax at the rate of 8.25% on assessable profits up to HK$2.0 million; and 16.5% on any part of assessable profits over HK$2.0 million. The payments of dividends by the Group to its shareholders are not subject to any Hong Kong withholding tax.</w:t>
      </w:r>
    </w:p>
    <w:p>
      <w:pPr>
        <w:spacing w:after="0" w:line="177" w:lineRule="exact"/>
        <w:rPr>
          <w:rFonts w:ascii="Times New Roman" w:cs="Times New Roman" w:eastAsia="Times New Roman" w:hAnsi="Times New Roman"/>
          <w:sz w:val="17"/>
          <w:szCs w:val="17"/>
          <w:b w:val="1"/>
          <w:bCs w:val="1"/>
          <w:color w:val="auto"/>
        </w:rPr>
      </w:pPr>
    </w:p>
    <w:p>
      <w:pPr>
        <w:ind w:left="6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Chinese mainland Corporate Income Tax (“CIT”)</w:t>
      </w:r>
    </w:p>
    <w:p>
      <w:pPr>
        <w:spacing w:after="0" w:line="227" w:lineRule="exact"/>
        <w:rPr>
          <w:rFonts w:ascii="Times New Roman" w:cs="Times New Roman" w:eastAsia="Times New Roman" w:hAnsi="Times New Roman"/>
          <w:sz w:val="17"/>
          <w:szCs w:val="17"/>
          <w:b w:val="1"/>
          <w:bCs w:val="1"/>
          <w:color w:val="auto"/>
        </w:rPr>
      </w:pPr>
    </w:p>
    <w:p>
      <w:pPr>
        <w:jc w:val="both"/>
        <w:ind w:left="66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Group’s subsidiaries, the VIEs and the VIEs’ subsidiaries, which are entities incorporated in the Chinese mainland (the “Chinese mainland entities”) are subject to the Chinese mainland Enterprise Income Tax on the taxable income in accordance with the relevant Chinese mainland income tax laws, which have adopted a unified income tax rate of 25%, except for High and New Technology Enterprises (“HNTE”), which are subject to a 15% tax rate. Based on issued and effective relevant Chinese mainland income tax regulation in 2023, for Small Low-profit Enterprises, the portion of less than RMB3.0 million of the annual taxable income, will be included in the actual taxable income at 25%, based on which the enterprise income tax payable will be calculated at the reduced tax rate of 20% for the years ended December 31, 2023, 2024 and 2025.</w:t>
      </w:r>
    </w:p>
    <w:p>
      <w:pPr>
        <w:spacing w:after="0" w:line="188" w:lineRule="exact"/>
        <w:rPr>
          <w:rFonts w:ascii="Times New Roman" w:cs="Times New Roman" w:eastAsia="Times New Roman" w:hAnsi="Times New Roman"/>
          <w:sz w:val="17"/>
          <w:szCs w:val="17"/>
          <w:b w:val="1"/>
          <w:bCs w:val="1"/>
          <w:color w:val="auto"/>
        </w:rPr>
      </w:pPr>
    </w:p>
    <w:p>
      <w:pPr>
        <w:jc w:val="both"/>
        <w:ind w:left="66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Under preferential tax treatment, HNTEs can enjoy an income tax rate of 15%, but need to re-apply every three years. During this three-year period, an HNTE must conduct a qualification self-review each year to ensure it meets the HNTE criteria and is eligible for the 15% preferential tax rate for that year. If an HNTE fails to meet the criteria for qualification as an HNTE in any year, the enterprise cannot enjoy the 15% preferential tax rate in that year, and must instead use the regular 25% Chinese mainland CIT rate.</w:t>
      </w:r>
    </w:p>
    <w:p>
      <w:pPr>
        <w:spacing w:after="0" w:line="183" w:lineRule="exact"/>
        <w:rPr>
          <w:rFonts w:ascii="Times New Roman" w:cs="Times New Roman" w:eastAsia="Times New Roman" w:hAnsi="Times New Roman"/>
          <w:sz w:val="17"/>
          <w:szCs w:val="17"/>
          <w:b w:val="1"/>
          <w:bCs w:val="1"/>
          <w:color w:val="auto"/>
        </w:rPr>
      </w:pPr>
    </w:p>
    <w:p>
      <w:pPr>
        <w:ind w:left="1000" w:hanging="317"/>
        <w:spacing w:after="0" w:line="261" w:lineRule="auto"/>
        <w:tabs>
          <w:tab w:leader="none" w:pos="100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YX was qualified as HNTE in 2023, and is entitled to a preferential income tax rate of 15% for 2023, 2024 and 2025.</w:t>
      </w:r>
    </w:p>
    <w:p>
      <w:pPr>
        <w:ind w:left="1000" w:hanging="317"/>
        <w:spacing w:after="0" w:line="250" w:lineRule="auto"/>
        <w:tabs>
          <w:tab w:leader="none" w:pos="100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Guangzhou ZX was qualified as HNTE in 2024, and is entitled to a preferential income tax rate of 15% for 2024, 2025 and 2026.</w:t>
      </w:r>
    </w:p>
    <w:p>
      <w:pPr>
        <w:ind w:left="1000" w:hanging="317"/>
        <w:spacing w:after="0"/>
        <w:tabs>
          <w:tab w:leader="none" w:pos="100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Guangzhou HX renewed HNTE in 2023, and is entitled to a preferential income tax rate of 15% for 2023, 2024 and 2025.</w:t>
      </w:r>
    </w:p>
    <w:p>
      <w:pPr>
        <w:spacing w:after="0" w:line="9" w:lineRule="exact"/>
        <w:rPr>
          <w:rFonts w:ascii="Times New Roman" w:cs="Times New Roman" w:eastAsia="Times New Roman" w:hAnsi="Times New Roman"/>
          <w:sz w:val="18"/>
          <w:szCs w:val="18"/>
          <w:color w:val="auto"/>
        </w:rPr>
      </w:pPr>
    </w:p>
    <w:p>
      <w:pPr>
        <w:ind w:left="1000" w:right="20" w:hanging="317"/>
        <w:spacing w:after="0" w:line="250" w:lineRule="auto"/>
        <w:tabs>
          <w:tab w:leader="none" w:pos="100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HX, Beijing ZX and Jiangsu Rye Data Technology Co., Ltd. (“Jiangsu RD”) renewed HNTE in 2024, and is entitled to a preferential income tax rate at 15% for 2024, 2025 and 2026.</w:t>
      </w:r>
    </w:p>
    <w:p>
      <w:pPr>
        <w:ind w:left="1000" w:hanging="317"/>
        <w:spacing w:after="0" w:line="260" w:lineRule="auto"/>
        <w:tabs>
          <w:tab w:leader="none" w:pos="100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YX and Shenzhen YX renewed HNTE in 2025, and is entitled to a preferential income tax rate at 15% for 2025, 2026 and 2027.</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Composition of Income Tax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years ended December 31, 2023, 2024 and 2025, the Group’s income tax expenses are as follows:</w:t>
      </w:r>
    </w:p>
    <w:p>
      <w:pPr>
        <w:spacing w:after="0" w:line="23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4"/>
          <w:szCs w:val="14"/>
          <w:b w:val="1"/>
          <w:bCs w:val="1"/>
          <w:color w:val="231F20"/>
        </w:rPr>
        <w:t>Year ended December 31,</w:t>
      </w:r>
    </w:p>
    <w:p>
      <w:pPr>
        <w:spacing w:after="0" w:line="12" w:lineRule="exact"/>
        <w:rPr>
          <w:sz w:val="20"/>
          <w:szCs w:val="20"/>
          <w:color w:val="auto"/>
        </w:rPr>
      </w:pPr>
    </w:p>
    <w:tbl>
      <w:tblPr>
        <w:tblLayout w:type="fixed"/>
        <w:tblInd w:w="660" w:type="dxa"/>
        <w:tblCellMar>
          <w:top w:w="0" w:type="dxa"/>
          <w:left w:w="0" w:type="dxa"/>
          <w:bottom w:w="0" w:type="dxa"/>
          <w:right w:w="0" w:type="dxa"/>
        </w:tblCellMar>
      </w:tblPr>
      <w:tr>
        <w:trPr>
          <w:trHeight w:val="156"/>
        </w:trPr>
        <w:tc>
          <w:tcPr>
            <w:tcW w:w="6060" w:type="dxa"/>
            <w:vAlign w:val="bottom"/>
          </w:tcPr>
          <w:p>
            <w:pPr>
              <w:ind w:left="5960"/>
              <w:spacing w:after="0" w:line="155" w:lineRule="exact"/>
              <w:rPr>
                <w:sz w:val="20"/>
                <w:szCs w:val="20"/>
                <w:color w:val="auto"/>
              </w:rPr>
            </w:pPr>
            <w:r>
              <w:rPr>
                <w:rFonts w:ascii="Times New Roman" w:cs="Times New Roman" w:eastAsia="Times New Roman" w:hAnsi="Times New Roman"/>
                <w:sz w:val="14"/>
                <w:szCs w:val="14"/>
                <w:color w:val="231F20"/>
              </w:rPr>
              <w:t>​​​</w:t>
            </w:r>
          </w:p>
        </w:tc>
        <w:tc>
          <w:tcPr>
            <w:tcW w:w="720" w:type="dxa"/>
            <w:vAlign w:val="bottom"/>
            <w:tcBorders>
              <w:top w:val="single" w:sz="8" w:color="auto"/>
            </w:tcBorders>
          </w:tcPr>
          <w:p>
            <w:pPr>
              <w:jc w:val="right"/>
              <w:ind w:right="132"/>
              <w:spacing w:after="0" w:line="155" w:lineRule="exact"/>
              <w:rPr>
                <w:sz w:val="20"/>
                <w:szCs w:val="20"/>
                <w:color w:val="auto"/>
              </w:rPr>
            </w:pPr>
            <w:r>
              <w:rPr>
                <w:rFonts w:ascii="Times New Roman" w:cs="Times New Roman" w:eastAsia="Times New Roman" w:hAnsi="Times New Roman"/>
                <w:sz w:val="14"/>
                <w:szCs w:val="14"/>
                <w:b w:val="1"/>
                <w:bCs w:val="1"/>
                <w:color w:val="231F20"/>
              </w:rPr>
              <w:t>2023</w:t>
            </w:r>
          </w:p>
        </w:tc>
        <w:tc>
          <w:tcPr>
            <w:tcW w:w="920" w:type="dxa"/>
            <w:vAlign w:val="bottom"/>
            <w:tcBorders>
              <w:top w:val="single" w:sz="8" w:color="auto"/>
            </w:tcBorders>
            <w:gridSpan w:val="2"/>
          </w:tcPr>
          <w:p>
            <w:pPr>
              <w:jc w:val="right"/>
              <w:ind w:right="130"/>
              <w:spacing w:after="0" w:line="155" w:lineRule="exact"/>
              <w:rPr>
                <w:sz w:val="20"/>
                <w:szCs w:val="20"/>
                <w:color w:val="auto"/>
              </w:rPr>
            </w:pP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b w:val="1"/>
                <w:bCs w:val="1"/>
                <w:color w:val="231F20"/>
              </w:rPr>
              <w:t>2024</w:t>
            </w:r>
          </w:p>
        </w:tc>
        <w:tc>
          <w:tcPr>
            <w:tcW w:w="920" w:type="dxa"/>
            <w:vAlign w:val="bottom"/>
            <w:tcBorders>
              <w:top w:val="single" w:sz="8" w:color="auto"/>
            </w:tcBorders>
            <w:gridSpan w:val="2"/>
          </w:tcPr>
          <w:p>
            <w:pPr>
              <w:jc w:val="right"/>
              <w:ind w:right="150"/>
              <w:spacing w:after="0" w:line="155" w:lineRule="exact"/>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231F20"/>
              </w:rPr>
              <w:t>2025</w:t>
            </w:r>
          </w:p>
        </w:tc>
      </w:tr>
      <w:tr>
        <w:trPr>
          <w:trHeight w:val="209"/>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Deferred tax benefits applicable to the Chinese mainland operations</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120</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16"/>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231F20"/>
              </w:rPr>
              <w:t>Deferred tax benefits applicable to non-Chinese mainland operations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Total deferred tax benefits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120</w:t>
            </w:r>
          </w:p>
        </w:tc>
        <w:tc>
          <w:tcPr>
            <w:tcW w:w="1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231F20"/>
              </w:rPr>
              <w:t>Current income tax benefits applicable to the Chinese mainland operations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w:t>
            </w:r>
          </w:p>
        </w:tc>
      </w:tr>
      <w:tr>
        <w:trPr>
          <w:trHeight w:val="198"/>
        </w:trPr>
        <w:tc>
          <w:tcPr>
            <w:tcW w:w="6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231F20"/>
              </w:rPr>
              <w:t>Current income tax benefits (expenses) applicable to non-Chinese mainland</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4"/>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operations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w:t>
            </w:r>
          </w:p>
        </w:tc>
      </w:tr>
      <w:tr>
        <w:trPr>
          <w:trHeight w:val="209"/>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231F20"/>
              </w:rPr>
              <w:t>Total current income tax benefits (expenses)</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6</w:t>
            </w:r>
          </w:p>
        </w:tc>
        <w:tc>
          <w:tcPr>
            <w:tcW w:w="1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w:t>
            </w:r>
          </w:p>
        </w:tc>
        <w:tc>
          <w:tcPr>
            <w:tcW w:w="16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10"/>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Total income tax benefits (expenses)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126</w:t>
            </w: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w:t>
            </w: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w:t>
            </w:r>
          </w:p>
        </w:tc>
      </w:tr>
      <w:tr>
        <w:trPr>
          <w:trHeight w:val="20"/>
        </w:trPr>
        <w:tc>
          <w:tcPr>
            <w:tcW w:w="60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hanging="652"/>
        <w:spacing w:after="0"/>
        <w:tabs>
          <w:tab w:leader="none" w:pos="66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TAXATION - </w:t>
      </w:r>
      <w:r>
        <w:rPr>
          <w:rFonts w:ascii="Times New Roman" w:cs="Times New Roman" w:eastAsia="Times New Roman" w:hAnsi="Times New Roman"/>
          <w:sz w:val="18"/>
          <w:szCs w:val="18"/>
          <w:color w:val="auto"/>
        </w:rPr>
        <w:t>continued</w:t>
      </w:r>
    </w:p>
    <w:p>
      <w:pPr>
        <w:spacing w:after="0" w:line="2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Reconciliation of the statutory tax rate to the effective tax rate</w:t>
      </w:r>
    </w:p>
    <w:p>
      <w:pPr>
        <w:spacing w:after="0" w:line="2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reconciliation between the Chinese mainland CIT rate and the effective tax rate:</w:t>
      </w:r>
    </w:p>
    <w:p>
      <w:pPr>
        <w:spacing w:after="0" w:line="232"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b w:val="1"/>
          <w:bCs w:val="1"/>
          <w:color w:val="231F20"/>
        </w:rPr>
        <w:t>Year ended December 31,</w:t>
      </w:r>
    </w:p>
    <w:p>
      <w:pPr>
        <w:spacing w:after="0" w:line="12"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6620" w:type="dxa"/>
            <w:vAlign w:val="bottom"/>
            <w:gridSpan w:val="2"/>
          </w:tcPr>
          <w:p>
            <w:pPr>
              <w:ind w:left="6500"/>
              <w:spacing w:after="0" w:line="142" w:lineRule="exact"/>
              <w:rPr>
                <w:sz w:val="20"/>
                <w:szCs w:val="20"/>
                <w:color w:val="auto"/>
              </w:rPr>
            </w:pPr>
            <w:r>
              <w:rPr>
                <w:rFonts w:ascii="Times New Roman" w:cs="Times New Roman" w:eastAsia="Times New Roman" w:hAnsi="Times New Roman"/>
                <w:sz w:val="14"/>
                <w:szCs w:val="14"/>
                <w:color w:val="231F20"/>
              </w:rPr>
              <w:t>​​​</w:t>
            </w:r>
          </w:p>
        </w:tc>
        <w:tc>
          <w:tcPr>
            <w:tcW w:w="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231F20"/>
              </w:rPr>
              <w:t>2023</w:t>
            </w: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color w:val="231F20"/>
              </w:rPr>
              <w:t>​​​</w:t>
            </w:r>
          </w:p>
        </w:tc>
        <w:tc>
          <w:tcPr>
            <w:tcW w:w="640" w:type="dxa"/>
            <w:vAlign w:val="bottom"/>
            <w:tcBorders>
              <w:top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231F20"/>
              </w:rPr>
              <w:t>2024</w:t>
            </w:r>
          </w:p>
        </w:tc>
        <w:tc>
          <w:tcPr>
            <w:tcW w:w="220" w:type="dxa"/>
            <w:vAlign w:val="bottom"/>
            <w:tcBorders>
              <w:top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color w:val="231F20"/>
              </w:rPr>
              <w:t>​</w:t>
            </w: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Chinese mainland CIT rate</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25.0</w:t>
            </w:r>
          </w:p>
        </w:tc>
        <w:tc>
          <w:tcPr>
            <w:tcW w:w="260" w:type="dxa"/>
            <w:vAlign w:val="bottom"/>
            <w:tcBorders>
              <w:top w:val="single" w:sz="8" w:color="CCEEFF"/>
            </w:tcBorders>
            <w:gridSpan w:val="2"/>
            <w:shd w:val="clear" w:color="auto" w:fill="CCEEFF"/>
          </w:tcPr>
          <w:p>
            <w:pPr>
              <w:jc w:val="center"/>
              <w:ind w:right="13"/>
              <w:spacing w:after="0"/>
              <w:rPr>
                <w:sz w:val="20"/>
                <w:szCs w:val="20"/>
                <w:color w:val="auto"/>
              </w:rPr>
            </w:pPr>
            <w:r>
              <w:rPr>
                <w:rFonts w:ascii="Times New Roman" w:cs="Times New Roman" w:eastAsia="Times New Roman" w:hAnsi="Times New Roman"/>
                <w:sz w:val="18"/>
                <w:szCs w:val="18"/>
                <w:color w:val="231F20"/>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25.0</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w:t>
            </w:r>
          </w:p>
        </w:tc>
      </w:tr>
      <w:tr>
        <w:trPr>
          <w:trHeight w:val="216"/>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231F20"/>
              </w:rPr>
              <w:t>Effect on tax holiday and preferential tax treatment</w:t>
            </w:r>
          </w:p>
        </w:tc>
        <w:tc>
          <w:tcPr>
            <w:tcW w:w="980" w:type="dxa"/>
            <w:vAlign w:val="bottom"/>
            <w:gridSpan w:val="3"/>
          </w:tcPr>
          <w:p>
            <w:pPr>
              <w:jc w:val="right"/>
              <w:ind w:right="13"/>
              <w:spacing w:after="0"/>
              <w:rPr>
                <w:sz w:val="20"/>
                <w:szCs w:val="20"/>
                <w:color w:val="auto"/>
              </w:rPr>
            </w:pPr>
            <w:r>
              <w:rPr>
                <w:rFonts w:ascii="Times New Roman" w:cs="Times New Roman" w:eastAsia="Times New Roman" w:hAnsi="Times New Roman"/>
                <w:sz w:val="18"/>
                <w:szCs w:val="18"/>
                <w:color w:val="231F20"/>
              </w:rPr>
              <w:t>(3.8)%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(5.5)%</w:t>
            </w:r>
          </w:p>
        </w:tc>
      </w:tr>
      <w:tr>
        <w:trPr>
          <w:trHeight w:val="216"/>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231F20"/>
              </w:rPr>
              <w:t>Effect of R&amp;D super-deduction</w:t>
            </w:r>
          </w:p>
        </w:tc>
        <w:tc>
          <w:tcPr>
            <w:tcW w:w="98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231F20"/>
              </w:rPr>
              <w:t>12.9 %</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5.8 %</w:t>
            </w:r>
          </w:p>
        </w:tc>
      </w:tr>
      <w:tr>
        <w:trPr>
          <w:trHeight w:val="216"/>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231F20"/>
              </w:rPr>
              <w:t>Other permanent adjustments</w:t>
            </w:r>
          </w:p>
        </w:tc>
        <w:tc>
          <w:tcPr>
            <w:tcW w:w="980" w:type="dxa"/>
            <w:vAlign w:val="bottom"/>
            <w:gridSpan w:val="3"/>
          </w:tcPr>
          <w:p>
            <w:pPr>
              <w:jc w:val="right"/>
              <w:ind w:right="13"/>
              <w:spacing w:after="0"/>
              <w:rPr>
                <w:sz w:val="20"/>
                <w:szCs w:val="20"/>
                <w:color w:val="auto"/>
              </w:rPr>
            </w:pPr>
            <w:r>
              <w:rPr>
                <w:rFonts w:ascii="Times New Roman" w:cs="Times New Roman" w:eastAsia="Times New Roman" w:hAnsi="Times New Roman"/>
                <w:sz w:val="18"/>
                <w:szCs w:val="18"/>
                <w:color w:val="231F20"/>
              </w:rPr>
              <w:t>(0.5)%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(5.1)%</w:t>
            </w:r>
          </w:p>
        </w:tc>
      </w:tr>
      <w:tr>
        <w:trPr>
          <w:trHeight w:val="216"/>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231F20"/>
              </w:rPr>
              <w:t>Change in valuation allowance</w:t>
            </w:r>
          </w:p>
        </w:tc>
        <w:tc>
          <w:tcPr>
            <w:tcW w:w="98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231F20"/>
              </w:rPr>
              <w:t>(32.2)%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(19.2)%</w:t>
            </w:r>
          </w:p>
        </w:tc>
      </w:tr>
      <w:tr>
        <w:trPr>
          <w:trHeight w:val="216"/>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231F20"/>
              </w:rPr>
              <w:t>Tax rate difference from Chinese mainland CIT rate in other jurisdictions</w:t>
            </w:r>
          </w:p>
        </w:tc>
        <w:tc>
          <w:tcPr>
            <w:tcW w:w="980" w:type="dxa"/>
            <w:vAlign w:val="bottom"/>
            <w:gridSpan w:val="3"/>
          </w:tcPr>
          <w:p>
            <w:pPr>
              <w:jc w:val="right"/>
              <w:ind w:right="13"/>
              <w:spacing w:after="0"/>
              <w:rPr>
                <w:sz w:val="20"/>
                <w:szCs w:val="20"/>
                <w:color w:val="auto"/>
              </w:rPr>
            </w:pPr>
            <w:r>
              <w:rPr>
                <w:rFonts w:ascii="Times New Roman" w:cs="Times New Roman" w:eastAsia="Times New Roman" w:hAnsi="Times New Roman"/>
                <w:sz w:val="18"/>
                <w:szCs w:val="18"/>
                <w:color w:val="231F20"/>
              </w:rPr>
              <w:t>(1.3)%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(1.0)%</w:t>
            </w:r>
          </w:p>
        </w:tc>
      </w:tr>
      <w:tr>
        <w:trPr>
          <w:trHeight w:val="210"/>
        </w:trPr>
        <w:tc>
          <w:tcPr>
            <w:tcW w:w="6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Effective tax rate for the Group</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0.1</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w w:val="88"/>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w:t>
            </w:r>
          </w:p>
        </w:tc>
      </w:tr>
      <w:tr>
        <w:trPr>
          <w:trHeight w:val="20"/>
        </w:trPr>
        <w:tc>
          <w:tcPr>
            <w:tcW w:w="6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58"/>
        </w:trPr>
        <w:tc>
          <w:tcPr>
            <w:tcW w:w="8400" w:type="dxa"/>
            <w:vAlign w:val="bottom"/>
            <w:gridSpan w:val="9"/>
          </w:tcPr>
          <w:p>
            <w:pPr>
              <w:ind w:left="6500"/>
              <w:spacing w:after="0"/>
              <w:rPr>
                <w:sz w:val="20"/>
                <w:szCs w:val="20"/>
                <w:color w:val="auto"/>
              </w:rPr>
            </w:pPr>
            <w:r>
              <w:rPr>
                <w:rFonts w:ascii="Times New Roman" w:cs="Times New Roman" w:eastAsia="Times New Roman" w:hAnsi="Times New Roman"/>
                <w:sz w:val="14"/>
                <w:szCs w:val="14"/>
                <w:b w:val="1"/>
                <w:bCs w:val="1"/>
                <w:color w:val="auto"/>
              </w:rPr>
              <w:t>​​​  Year ended December 31,</w:t>
            </w:r>
          </w:p>
        </w:tc>
        <w:tc>
          <w:tcPr>
            <w:tcW w:w="220" w:type="dxa"/>
            <w:vAlign w:val="bottom"/>
          </w:tcPr>
          <w:p>
            <w:pPr>
              <w:spacing w:after="0"/>
              <w:rPr>
                <w:sz w:val="24"/>
                <w:szCs w:val="24"/>
                <w:color w:val="auto"/>
              </w:rPr>
            </w:pPr>
          </w:p>
        </w:tc>
      </w:tr>
      <w:tr>
        <w:trPr>
          <w:trHeight w:val="142"/>
        </w:trPr>
        <w:tc>
          <w:tcPr>
            <w:tcW w:w="6640" w:type="dxa"/>
            <w:vAlign w:val="bottom"/>
            <w:tcBorders>
              <w:bottom w:val="single" w:sz="8" w:color="CCEEFF"/>
            </w:tcBorders>
            <w:gridSpan w:val="3"/>
          </w:tcPr>
          <w:p>
            <w:pPr>
              <w:ind w:left="65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gridSpan w:val="5"/>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r>
      <w:tr>
        <w:trPr>
          <w:trHeight w:val="210"/>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w:t>
            </w:r>
          </w:p>
        </w:tc>
        <w:tc>
          <w:tcPr>
            <w:tcW w:w="1120" w:type="dxa"/>
            <w:vAlign w:val="bottom"/>
            <w:gridSpan w:val="5"/>
            <w:shd w:val="clear" w:color="auto" w:fill="CCEEFF"/>
          </w:tcPr>
          <w:p>
            <w:pPr>
              <w:jc w:val="right"/>
              <w:ind w:right="160"/>
              <w:spacing w:after="0" w:line="210" w:lineRule="exact"/>
              <w:rPr>
                <w:sz w:val="20"/>
                <w:szCs w:val="20"/>
                <w:color w:val="auto"/>
              </w:rPr>
            </w:pPr>
            <w:r>
              <w:rPr>
                <w:rFonts w:ascii="Times New Roman" w:cs="Times New Roman" w:eastAsia="Times New Roman" w:hAnsi="Times New Roman"/>
                <w:sz w:val="16"/>
                <w:szCs w:val="16"/>
                <w:color w:val="auto"/>
              </w:rPr>
              <w:t xml:space="preserve">(76,758) </w:t>
            </w:r>
            <w:r>
              <w:rPr>
                <w:rFonts w:ascii="Times New Roman" w:cs="Times New Roman" w:eastAsia="Times New Roman" w:hAnsi="Times New Roman"/>
                <w:sz w:val="24"/>
                <w:szCs w:val="24"/>
                <w:color w:val="auto"/>
                <w:vertAlign w:val="subscript"/>
              </w:rPr>
              <w:t>​​​</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Chinese mainland CIT rate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(19,190)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216"/>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jurisdictions' tax effects</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Statutory tax rate difference between United States and Chinese mainland</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6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State and local income taxes, net of federal income tax effect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16"/>
        </w:trPr>
        <w:tc>
          <w:tcPr>
            <w:tcW w:w="66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16"/>
        </w:trPr>
        <w:tc>
          <w:tcPr>
            <w:tcW w:w="6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Tax credits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(17,885)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23.3 %</w:t>
            </w:r>
          </w:p>
        </w:tc>
      </w:tr>
      <w:tr>
        <w:trPr>
          <w:trHeight w:val="216"/>
        </w:trPr>
        <w:tc>
          <w:tcPr>
            <w:tcW w:w="66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56.7 %</w:t>
            </w:r>
          </w:p>
        </w:tc>
      </w:tr>
      <w:tr>
        <w:trPr>
          <w:trHeight w:val="216"/>
        </w:trPr>
        <w:tc>
          <w:tcPr>
            <w:tcW w:w="6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66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Hongkong</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Statutory tax rate difference between Hongkong and Chinese mainland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6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on tax holiday and preferential tax treatment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6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All others</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Statutory tax rate difference between foreign countries and Chinese mainland</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16"/>
        </w:trPr>
        <w:tc>
          <w:tcPr>
            <w:tcW w:w="66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6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Effect of R&amp;D super-deduction</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(21,586)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28.1 %</w:t>
            </w:r>
          </w:p>
        </w:tc>
      </w:tr>
      <w:tr>
        <w:trPr>
          <w:trHeight w:val="216"/>
        </w:trPr>
        <w:tc>
          <w:tcPr>
            <w:tcW w:w="66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 on tax holiday and preferential tax treatment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0"/>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Effective tax rate for the Group</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combined effects of the income tax exemption and reduction available to the Group are as follows:</w:t>
      </w:r>
    </w:p>
    <w:p>
      <w:pPr>
        <w:spacing w:after="0" w:line="23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4"/>
          <w:szCs w:val="14"/>
          <w:b w:val="1"/>
          <w:bCs w:val="1"/>
          <w:color w:val="231F20"/>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7620</wp:posOffset>
            </wp:positionV>
            <wp:extent cx="16205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1">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7" w:lineRule="exact"/>
        <w:rPr>
          <w:sz w:val="20"/>
          <w:szCs w:val="20"/>
          <w:color w:val="auto"/>
        </w:rPr>
      </w:pPr>
    </w:p>
    <w:p>
      <w:pPr>
        <w:ind w:left="6620"/>
        <w:spacing w:after="0"/>
        <w:tabs>
          <w:tab w:leader="none" w:pos="6920" w:val="left"/>
          <w:tab w:leader="none" w:pos="7500" w:val="left"/>
          <w:tab w:leader="none" w:pos="7820" w:val="left"/>
          <w:tab w:leader="none" w:pos="8420" w:val="left"/>
          <w:tab w:leader="none" w:pos="8740" w:val="left"/>
        </w:tabs>
        <w:rPr>
          <w:sz w:val="20"/>
          <w:szCs w:val="20"/>
          <w:color w:val="auto"/>
        </w:rPr>
      </w:pPr>
      <w:r>
        <w:rPr>
          <w:rFonts w:ascii="Times New Roman" w:cs="Times New Roman" w:eastAsia="Times New Roman" w:hAnsi="Times New Roman"/>
          <w:sz w:val="14"/>
          <w:szCs w:val="14"/>
          <w:color w:val="231F20"/>
        </w:rPr>
        <w:t>​​​</w:t>
      </w:r>
      <w:r>
        <w:rPr>
          <w:sz w:val="20"/>
          <w:szCs w:val="20"/>
          <w:color w:val="auto"/>
        </w:rPr>
        <w:tab/>
      </w:r>
      <w:r>
        <w:rPr>
          <w:rFonts w:ascii="Times New Roman" w:cs="Times New Roman" w:eastAsia="Times New Roman" w:hAnsi="Times New Roman"/>
          <w:sz w:val="14"/>
          <w:szCs w:val="14"/>
          <w:b w:val="1"/>
          <w:bCs w:val="1"/>
          <w:color w:val="231F20"/>
        </w:rPr>
        <w:t>2023</w:t>
      </w:r>
      <w:r>
        <w:rPr>
          <w:sz w:val="20"/>
          <w:szCs w:val="20"/>
          <w:color w:val="auto"/>
        </w:rPr>
        <w:tab/>
      </w:r>
      <w:r>
        <w:rPr>
          <w:rFonts w:ascii="Times New Roman" w:cs="Times New Roman" w:eastAsia="Times New Roman" w:hAnsi="Times New Roman"/>
          <w:sz w:val="14"/>
          <w:szCs w:val="14"/>
          <w:color w:val="231F20"/>
        </w:rPr>
        <w:t>​​​</w:t>
      </w:r>
      <w:r>
        <w:rPr>
          <w:sz w:val="20"/>
          <w:szCs w:val="20"/>
          <w:color w:val="auto"/>
        </w:rPr>
        <w:tab/>
      </w:r>
      <w:r>
        <w:rPr>
          <w:rFonts w:ascii="Times New Roman" w:cs="Times New Roman" w:eastAsia="Times New Roman" w:hAnsi="Times New Roman"/>
          <w:sz w:val="14"/>
          <w:szCs w:val="14"/>
          <w:b w:val="1"/>
          <w:bCs w:val="1"/>
          <w:color w:val="231F20"/>
        </w:rPr>
        <w:t>2024</w:t>
      </w:r>
      <w:r>
        <w:rPr>
          <w:sz w:val="20"/>
          <w:szCs w:val="20"/>
          <w:color w:val="auto"/>
        </w:rPr>
        <w:tab/>
      </w:r>
      <w:r>
        <w:rPr>
          <w:rFonts w:ascii="Arial" w:cs="Arial" w:eastAsia="Arial" w:hAnsi="Arial"/>
          <w:sz w:val="14"/>
          <w:szCs w:val="14"/>
          <w:color w:val="auto"/>
        </w:rPr>
        <w:t>​​​</w:t>
      </w:r>
      <w:r>
        <w:rPr>
          <w:sz w:val="20"/>
          <w:szCs w:val="20"/>
          <w:color w:val="auto"/>
        </w:rPr>
        <w:tab/>
      </w:r>
      <w:r>
        <w:rPr>
          <w:rFonts w:ascii="Times New Roman" w:cs="Times New Roman" w:eastAsia="Times New Roman" w:hAnsi="Times New Roman"/>
          <w:sz w:val="14"/>
          <w:szCs w:val="14"/>
          <w:b w:val="1"/>
          <w:bCs w:val="1"/>
          <w:color w:val="231F20"/>
        </w:rPr>
        <w:t>2025</w:t>
      </w:r>
    </w:p>
    <w:tbl>
      <w:tblPr>
        <w:tblLayout w:type="fixed"/>
        <w:tblInd w:w="660" w:type="dxa"/>
        <w:tblCellMar>
          <w:top w:w="0" w:type="dxa"/>
          <w:left w:w="0" w:type="dxa"/>
          <w:bottom w:w="0" w:type="dxa"/>
          <w:right w:w="0" w:type="dxa"/>
        </w:tblCellMar>
      </w:tblP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Tax holiday effect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4,772</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15,182</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2,395</w:t>
            </w: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231F20"/>
              </w:rPr>
              <w:t>Net loss per share effect-basic and diluted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0.05</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0.13</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0.01</w:t>
            </w:r>
          </w:p>
        </w:tc>
      </w:tr>
    </w:tbl>
    <w:p>
      <w:pPr>
        <w:spacing w:after="0" w:line="200" w:lineRule="exact"/>
        <w:rPr>
          <w:sz w:val="20"/>
          <w:szCs w:val="20"/>
          <w:color w:val="auto"/>
        </w:rPr>
      </w:pPr>
    </w:p>
    <w:p>
      <w:pPr>
        <w:sectPr>
          <w:pgSz w:w="11900" w:h="16838" w:orient="portrait"/>
          <w:cols w:equalWidth="0" w:num="1">
            <w:col w:w="9620"/>
          </w:cols>
          <w:pgMar w:left="980" w:top="513"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20"/>
          </w:cols>
          <w:pgMar w:left="980" w:top="513" w:right="1299" w:bottom="1440" w:gutter="0" w:footer="0" w:header="0"/>
          <w:type w:val="continuous"/>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right="6840" w:hanging="652"/>
        <w:spacing w:after="0" w:line="532" w:lineRule="auto"/>
        <w:tabs>
          <w:tab w:leader="none" w:pos="660" w:val="left"/>
        </w:tabs>
        <w:numPr>
          <w:ilvl w:val="0"/>
          <w:numId w:val="1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TAXATION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continued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Deferred tax assets and liabilities</w:t>
      </w:r>
    </w:p>
    <w:p>
      <w:pPr>
        <w:spacing w:after="0" w:line="1" w:lineRule="exact"/>
        <w:rPr>
          <w:rFonts w:ascii="Times New Roman" w:cs="Times New Roman" w:eastAsia="Times New Roman" w:hAnsi="Times New Roman"/>
          <w:sz w:val="17"/>
          <w:szCs w:val="17"/>
          <w:b w:val="1"/>
          <w:bCs w:val="1"/>
          <w:color w:val="auto"/>
        </w:rPr>
      </w:pPr>
    </w:p>
    <w:p>
      <w:pPr>
        <w:ind w:left="6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tax effects of significant items comprising the Group’s deferred taxes as of December 31, 2024 and 2025, are as follows:</w:t>
      </w:r>
    </w:p>
    <w:p>
      <w:pPr>
        <w:spacing w:after="0" w:line="23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660" w:type="dxa"/>
        <w:tblCellMar>
          <w:top w:w="0" w:type="dxa"/>
          <w:left w:w="0" w:type="dxa"/>
          <w:bottom w:w="0" w:type="dxa"/>
          <w:right w:w="0" w:type="dxa"/>
        </w:tblCellMar>
      </w:tblPr>
      <w:tr>
        <w:trPr>
          <w:trHeight w:val="155"/>
        </w:trPr>
        <w:tc>
          <w:tcPr>
            <w:tcW w:w="6800" w:type="dxa"/>
            <w:vAlign w:val="bottom"/>
            <w:gridSpan w:val="2"/>
          </w:tcPr>
          <w:p>
            <w:pPr>
              <w:ind w:left="66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ind w:right="171"/>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Borders>
              <w:top w:val="single" w:sz="8" w:color="auto"/>
            </w:tcBorders>
            <w:gridSpan w:val="2"/>
          </w:tcPr>
          <w:p>
            <w:pPr>
              <w:jc w:val="right"/>
              <w:ind w:right="190"/>
              <w:spacing w:after="0" w:line="155" w:lineRule="exact"/>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2025</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193,794</w:t>
            </w:r>
          </w:p>
        </w:tc>
      </w:tr>
      <w:tr>
        <w:trPr>
          <w:trHeight w:val="216"/>
        </w:trPr>
        <w:tc>
          <w:tcPr>
            <w:tcW w:w="6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R&amp;D business tax credits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43,918</w:t>
            </w:r>
          </w:p>
        </w:tc>
      </w:tr>
      <w:tr>
        <w:trPr>
          <w:trHeight w:val="216"/>
        </w:trPr>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4,247</w:t>
            </w:r>
          </w:p>
        </w:tc>
      </w:tr>
      <w:tr>
        <w:trPr>
          <w:trHeight w:val="216"/>
        </w:trPr>
        <w:tc>
          <w:tcPr>
            <w:tcW w:w="6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of property, equipment and software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16"/>
        </w:trPr>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Deferred R&amp;D expenses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56,999</w:t>
            </w:r>
          </w:p>
        </w:tc>
      </w:tr>
      <w:tr>
        <w:trPr>
          <w:trHeight w:val="216"/>
        </w:trPr>
        <w:tc>
          <w:tcPr>
            <w:tcW w:w="6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current liabilities and other current assets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216"/>
        </w:trPr>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Lease liabilities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6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Impairment loss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r>
      <w:tr>
        <w:trPr>
          <w:trHeight w:val="210"/>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181,026</w:t>
            </w:r>
          </w:p>
        </w:tc>
        <w:tc>
          <w:tcPr>
            <w:tcW w:w="20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303,156</w:t>
            </w: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Prepaid expenses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6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Right-of-use assets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Change in fair value of investments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(18,344)</w:t>
            </w:r>
          </w:p>
        </w:tc>
      </w:tr>
      <w:tr>
        <w:trPr>
          <w:trHeight w:val="209"/>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(18,676)</w:t>
            </w:r>
          </w:p>
        </w:tc>
      </w:tr>
      <w:tr>
        <w:trPr>
          <w:trHeight w:val="210"/>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Valuation allowance</w:t>
            </w: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(180,469)</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(284,480)</w:t>
            </w:r>
          </w:p>
        </w:tc>
      </w:tr>
      <w:tr>
        <w:trPr>
          <w:trHeight w:val="209"/>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 net</w:t>
            </w:r>
          </w:p>
        </w:tc>
        <w:tc>
          <w:tcPr>
            <w:tcW w:w="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Deferred tax assets recognized for those tax credits are presented net of unrecognized tax benefits. Deferred tax liabilities were nil and nil as of December 31, 2024 and 2025, respectively.</w:t>
      </w:r>
    </w:p>
    <w:p>
      <w:pPr>
        <w:spacing w:after="0" w:line="16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 xml:space="preserve">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requires that the tax benefits of net operating losses (“NOLs”), temporary differences, and credit carryforwards be recorded as an asset to the extent that management assesses that the asset is more likely than not realizable. Realization of the future tax benefits is dependent on the Group’s ability to generate sufficient taxable income within the carryforward period. The Group considered all positive and negative evidence on whether the Group would have future taxable income sufficient to realize the benefits of its deferred tax assets.</w:t>
      </w:r>
    </w:p>
    <w:p>
      <w:pPr>
        <w:spacing w:after="0" w:line="18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Group determined the valuation allowance on an entity-by-entity basis. As of December 31, 2024 and 2025, $180.5 million and $284.5 million of valuation allowances were provided primarily related to R&amp;D business tax credits, deferred R&amp;D expenses and NOLs, respectively. Based on the available objectively verifiable positive and negative evidence, the Group determined that it is more likely than not that these net deferred tax assets will not be realized in the future.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NOLs and tax credit carryforwards as of December 31, 2025, are as follows:</w:t>
      </w:r>
    </w:p>
    <w:p>
      <w:pPr>
        <w:spacing w:after="0" w:line="232"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b w:val="1"/>
          <w:bCs w:val="1"/>
          <w:color w:val="auto"/>
        </w:rPr>
        <w:t>As of December 31, 2025</w:t>
      </w:r>
    </w:p>
    <w:p>
      <w:pPr>
        <w:spacing w:after="0" w:line="32" w:lineRule="exact"/>
        <w:rPr>
          <w:sz w:val="20"/>
          <w:szCs w:val="20"/>
          <w:color w:val="auto"/>
        </w:rPr>
      </w:pPr>
    </w:p>
    <w:tbl>
      <w:tblPr>
        <w:tblLayout w:type="fixed"/>
        <w:tblInd w:w="660" w:type="dxa"/>
        <w:tblCellMar>
          <w:top w:w="0" w:type="dxa"/>
          <w:left w:w="0" w:type="dxa"/>
          <w:bottom w:w="0" w:type="dxa"/>
          <w:right w:w="0" w:type="dxa"/>
        </w:tblCellMar>
      </w:tblPr>
      <w:tr>
        <w:trPr>
          <w:trHeight w:val="20"/>
        </w:trPr>
        <w:tc>
          <w:tcPr>
            <w:tcW w:w="6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r>
      <w:tr>
        <w:trPr>
          <w:trHeight w:val="122"/>
        </w:trPr>
        <w:tc>
          <w:tcPr>
            <w:tcW w:w="6200" w:type="dxa"/>
            <w:vAlign w:val="bottom"/>
            <w:gridSpan w:val="2"/>
          </w:tcPr>
          <w:p>
            <w:pPr>
              <w:ind w:left="602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155"/>
              <w:spacing w:after="0" w:line="12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560" w:type="dxa"/>
            <w:vAlign w:val="bottom"/>
            <w:gridSpan w:val="2"/>
          </w:tcPr>
          <w:p>
            <w:pPr>
              <w:jc w:val="right"/>
              <w:ind w:right="110"/>
              <w:spacing w:after="0" w:line="122" w:lineRule="exact"/>
              <w:rPr>
                <w:sz w:val="20"/>
                <w:szCs w:val="20"/>
                <w:color w:val="auto"/>
              </w:rPr>
            </w:pPr>
            <w:r>
              <w:rPr>
                <w:rFonts w:ascii="Times New Roman" w:cs="Times New Roman" w:eastAsia="Times New Roman" w:hAnsi="Times New Roman"/>
                <w:sz w:val="14"/>
                <w:szCs w:val="14"/>
                <w:b w:val="1"/>
                <w:bCs w:val="1"/>
                <w:color w:val="auto"/>
              </w:rPr>
              <w:t>​​​  Expiration Years</w:t>
            </w:r>
          </w:p>
        </w:tc>
      </w:tr>
      <w:tr>
        <w:trPr>
          <w:trHeight w:val="210"/>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NOLs, the Chinese mainland</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1,056,143</w:t>
            </w:r>
          </w:p>
        </w:tc>
        <w:tc>
          <w:tcPr>
            <w:tcW w:w="1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2026-2035</w:t>
            </w: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credits, U.S. federal</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2039-2045</w:t>
            </w: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 U.S. state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26,198</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No expiration date</w:t>
            </w:r>
          </w:p>
        </w:tc>
      </w:tr>
    </w:tbl>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Utilization of NOLs and tax credits in U.S. may be subject to a substantial annual limitation due to the ownership change limitations provided by the Internal Revenue Code of 1986, as amended, and similar state provisions. The annual limitation may result in the expiration of NOLs and tax credits before utilization.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right="7400" w:hanging="652"/>
        <w:spacing w:after="0" w:line="449" w:lineRule="auto"/>
        <w:tabs>
          <w:tab w:leader="none" w:pos="660" w:val="left"/>
        </w:tabs>
        <w:numPr>
          <w:ilvl w:val="0"/>
          <w:numId w:val="1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TAXATION </w:t>
      </w:r>
      <w:r>
        <w:rPr>
          <w:rFonts w:ascii="Times New Roman" w:cs="Times New Roman" w:eastAsia="Times New Roman" w:hAnsi="Times New Roman"/>
          <w:sz w:val="17"/>
          <w:szCs w:val="17"/>
          <w:color w:val="auto"/>
        </w:rPr>
        <w:t>- continued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Unrecognized tax benefits</w:t>
      </w:r>
    </w:p>
    <w:p>
      <w:pPr>
        <w:spacing w:after="0" w:line="1" w:lineRule="exact"/>
        <w:rPr>
          <w:rFonts w:ascii="Times New Roman" w:cs="Times New Roman" w:eastAsia="Times New Roman" w:hAnsi="Times New Roman"/>
          <w:sz w:val="17"/>
          <w:szCs w:val="17"/>
          <w:b w:val="1"/>
          <w:bCs w:val="1"/>
          <w:color w:val="auto"/>
        </w:rPr>
      </w:pPr>
    </w:p>
    <w:p>
      <w:pPr>
        <w:ind w:left="6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No liabilities related to uncertain tax positions are recorded in the consolidated financial statements. A reconciliation of the beginning and ending amounts of unrecognized tax benefits is as follows:</w:t>
      </w:r>
    </w:p>
    <w:p>
      <w:pPr>
        <w:spacing w:after="0" w:line="16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6080" w:type="dxa"/>
            <w:vAlign w:val="bottom"/>
            <w:gridSpan w:val="2"/>
          </w:tcPr>
          <w:p>
            <w:pPr>
              <w:ind w:left="59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   2024</w:t>
            </w:r>
          </w:p>
        </w:tc>
        <w:tc>
          <w:tcPr>
            <w:tcW w:w="920" w:type="dxa"/>
            <w:vAlign w:val="bottom"/>
            <w:tcBorders>
              <w:top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the beginning of the year</w:t>
            </w:r>
          </w:p>
        </w:tc>
        <w:tc>
          <w:tcPr>
            <w:tcW w:w="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6,180</w:t>
            </w: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 prior year</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10"/>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the end of the year</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5,096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5,725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11,655</w:t>
            </w:r>
          </w:p>
        </w:tc>
      </w:tr>
      <w:tr>
        <w:trPr>
          <w:trHeight w:val="20"/>
        </w:trPr>
        <w:tc>
          <w:tcPr>
            <w:tcW w:w="6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Included in the balances of unrecognized tax benefits as of December 31, 2023, 2024 and 2025, are $5.1 million, $5.7 million and $11.7 million, respectively, of tax benefits that, if recognized, would result in adjustments to other tax accounts, primarily federal and California deferred tax assets. No income tax benefits would be realized due to the Group’s valuation allowance position. The Group did not identify significant unrecognized tax benefits for other areas for the years ended December 31, 2023, 2024 and 2025. The Group did not recognize any expenses for interest and penalties related to uncertain tax positions for the years ended December 31, 2023, 2024 and 2025, due to their immaterial impact on the respective consolidated financial statements. The Group does not expect its unrecognized tax benefits balance to change materially over the next 12 months.</w:t>
      </w:r>
    </w:p>
    <w:p>
      <w:pPr>
        <w:spacing w:after="0" w:line="10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accordance with the Chinese mainland Tax Administration Law on the Levying and Collection of Taxes, the Chinese mainland tax authorities generally have up to five years to claw back underpaid tax plus penalties and interest for the Chinese mainland entities’ tax filings. In the case of tax evasion, which is not clearly defined in the law, there is no limitation on the tax years open for investigation.</w:t>
      </w:r>
    </w:p>
    <w:p>
      <w:pPr>
        <w:spacing w:after="0" w:line="11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Group’s U.S. subsidiary files income tax returns in the U.S. federal and various states. The Group’s U.S. subsidiary’s federal and state income tax returns are generally subject to tax examinations for the tax years ended December 31, 2020, through December 31, 2025 for Federal and December 31, 2018 through December 31, 2025 for states. There are currently no pending income tax examinations.</w:t>
      </w:r>
    </w:p>
    <w:p>
      <w:pPr>
        <w:spacing w:after="0" w:line="11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Group may also be subject to the examination of the tax filings in other jurisdictions, which are not material to the consolidated financial statements. There were no ongoing examinations by tax authorities as of December 31, 2024 and 2025.</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Chinese mainland Withholding income tax on dividends</w:t>
      </w:r>
    </w:p>
    <w:p>
      <w:pPr>
        <w:spacing w:after="0" w:line="160"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The CIT Law also imposes a withholding income tax of 10% on dividends distributed by a foreign invested entity (“FIE”) to its immediate holding company outside of Chinese mainland, if such immediate holding company is considered as a non-resident enterprise without any establishment or place within Chinese mainland or if the received dividends have no connection with the establishment or place of such immediate holding company within Chinese mainland, unless such immediate holding company’s jurisdiction of incorporation has a tax treaty with Chinese mainland that provides for a different withholding arrangement. Such withholding income tax was exempted under the Previous CIT Law. The Cayman Islands, where the Group incorporated, does not have such tax treaty with Chinese mainland. According to the arrangement between Chinese mainland and Hong Kong Special Administrative Region on the Avoidance of Double Taxation and Prevention of Fiscal Evasion in August 2006, dividends paid by a FIE in Chinese mainland to its immediate holding company in Hong Kong will be subject to withholding tax at a rate that may be lowered to 5% (if the foreign investor owns directly at least 25% of the shares of the FIE). The State Administration of Taxation (“SAT”) further promulgated Circular 601 on October 27, 2009, which provides that tax treaty benefits will be denied to “conduit” or shell companies without business substance and that a beneficial ownership analysis will be used based on a “substance-over-form” principle to determine whether or not to grant the tax treaty benefits.</w:t>
      </w:r>
    </w:p>
    <w:p>
      <w:pPr>
        <w:spacing w:after="0" w:line="12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To the extent that the subsidiaries and the VIEs and the VIEs’ subsidiaries of the Group have undistributed earnings, the Group will accrue appropriate expected tax associated with repatriation of such undistributed earnings. As of December 31, 2024 and 2025, the Group did not record any withholding tax on the retained earnings of its subsidiaries and the VIEs in the Chinese mainland as they were still in accumulated deficit position.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hanging="652"/>
        <w:spacing w:after="0"/>
        <w:tabs>
          <w:tab w:leader="none" w:pos="66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BALANCES AND TRANSACTIONS</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related parties</w:t>
            </w:r>
          </w:p>
        </w:tc>
        <w:tc>
          <w:tcPr>
            <w:tcW w:w="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CCEEFF"/>
            </w:tcBorders>
          </w:tcPr>
          <w:p>
            <w:pPr>
              <w:spacing w:after="0"/>
              <w:rPr>
                <w:sz w:val="20"/>
                <w:szCs w:val="20"/>
                <w:color w:val="auto"/>
              </w:rPr>
            </w:pPr>
          </w:p>
        </w:tc>
        <w:tc>
          <w:tcPr>
            <w:tcW w:w="42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Relationship with the Group</w:t>
            </w:r>
          </w:p>
        </w:tc>
      </w:tr>
      <w:tr>
        <w:trPr>
          <w:trHeight w:val="209"/>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Toyota Motor Corporation (“TMC”)</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 of the Group</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Sinotrans Limited (“Sinotrans”)</w:t>
            </w:r>
          </w:p>
        </w:tc>
        <w:tc>
          <w:tcPr>
            <w:tcW w:w="100" w:type="dxa"/>
            <w:vAlign w:val="bottom"/>
          </w:tcPr>
          <w:p>
            <w:pPr>
              <w:spacing w:after="0"/>
              <w:rPr>
                <w:sz w:val="18"/>
                <w:szCs w:val="18"/>
                <w:color w:val="auto"/>
              </w:rPr>
            </w:pPr>
          </w:p>
        </w:tc>
        <w:tc>
          <w:tcPr>
            <w:tcW w:w="4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Non-controlling shareholder of Cyantron Logistics</w:t>
            </w:r>
          </w:p>
        </w:tc>
      </w:tr>
      <w:tr>
        <w:trPr>
          <w:trHeight w:val="198"/>
        </w:trPr>
        <w:tc>
          <w:tcPr>
            <w:tcW w:w="4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Zhuifeng Intelligent Technology (Guangzhou) Co., Ltd</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r>
      <w:tr>
        <w:trPr>
          <w:trHeight w:val="234"/>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(“Zhuifeng Intelligent”)</w:t>
            </w:r>
          </w:p>
        </w:tc>
        <w:tc>
          <w:tcPr>
            <w:tcW w:w="100" w:type="dxa"/>
            <w:vAlign w:val="bottom"/>
            <w:shd w:val="clear" w:color="auto" w:fill="CCEEFF"/>
          </w:tcPr>
          <w:p>
            <w:pPr>
              <w:spacing w:after="0"/>
              <w:rPr>
                <w:sz w:val="20"/>
                <w:szCs w:val="20"/>
                <w:color w:val="auto"/>
              </w:rPr>
            </w:pPr>
          </w:p>
        </w:tc>
        <w:tc>
          <w:tcPr>
            <w:tcW w:w="4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Equity method investee</w:t>
            </w: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 The Group had the following balances and transactions with major related parties: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Amounts due from related parties</w:t>
            </w:r>
          </w:p>
        </w:tc>
        <w:tc>
          <w:tcPr>
            <w:tcW w:w="2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4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360" w:type="dxa"/>
            <w:vAlign w:val="bottom"/>
            <w:gridSpan w:val="2"/>
            <w:vMerge w:val="continue"/>
          </w:tcPr>
          <w:p>
            <w:pPr>
              <w:spacing w:after="0"/>
              <w:rPr>
                <w:sz w:val="12"/>
                <w:szCs w:val="12"/>
                <w:color w:val="auto"/>
              </w:rPr>
            </w:pP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TMC (trade nature)</w:t>
            </w:r>
          </w:p>
        </w:tc>
        <w:tc>
          <w:tcPr>
            <w:tcW w:w="2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Sinotrans (trade nature)</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10,153</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Zhuifeng Intelligent (trade nature)</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11,338</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Amounts due to related parties</w:t>
            </w: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4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360" w:type="dxa"/>
            <w:vAlign w:val="bottom"/>
            <w:gridSpan w:val="2"/>
            <w:vMerge w:val="continue"/>
          </w:tcPr>
          <w:p>
            <w:pPr>
              <w:spacing w:after="0"/>
              <w:rPr>
                <w:sz w:val="12"/>
                <w:szCs w:val="12"/>
                <w:color w:val="auto"/>
              </w:rPr>
            </w:pP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Sinotrans (trade nature)</w:t>
            </w:r>
          </w:p>
        </w:tc>
        <w:tc>
          <w:tcPr>
            <w:tcW w:w="2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1,422</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11"/>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360" w:type="dxa"/>
            <w:vAlign w:val="bottom"/>
            <w:gridSpan w:val="2"/>
            <w:vMerge w:val="continue"/>
          </w:tcPr>
          <w:p>
            <w:pPr>
              <w:spacing w:after="0"/>
              <w:rPr>
                <w:sz w:val="12"/>
                <w:szCs w:val="12"/>
                <w:color w:val="auto"/>
              </w:rPr>
            </w:pPr>
          </w:p>
        </w:tc>
        <w:tc>
          <w:tcPr>
            <w:tcW w:w="2180" w:type="dxa"/>
            <w:vAlign w:val="bottom"/>
          </w:tcPr>
          <w:p>
            <w:pPr>
              <w:spacing w:after="0"/>
              <w:rPr>
                <w:sz w:val="12"/>
                <w:szCs w:val="12"/>
                <w:color w:val="auto"/>
              </w:rPr>
            </w:pPr>
          </w:p>
        </w:tc>
        <w:tc>
          <w:tcPr>
            <w:tcW w:w="2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8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TMC</w:t>
            </w:r>
          </w:p>
        </w:tc>
        <w:tc>
          <w:tcPr>
            <w:tcW w:w="2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Sinotrans</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22,491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30,719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Zhuifeng Intelligent</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23,103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30,826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30,811</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Operating and finance lease</w:t>
            </w: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4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360" w:type="dxa"/>
            <w:vAlign w:val="bottom"/>
            <w:gridSpan w:val="2"/>
            <w:vMerge w:val="continue"/>
          </w:tcPr>
          <w:p>
            <w:pPr>
              <w:spacing w:after="0"/>
              <w:rPr>
                <w:sz w:val="12"/>
                <w:szCs w:val="12"/>
                <w:color w:val="auto"/>
              </w:rPr>
            </w:pP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Operating lease liabilities</w:t>
            </w:r>
          </w:p>
        </w:tc>
        <w:tc>
          <w:tcPr>
            <w:tcW w:w="2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Sinotrans</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Finance lease liabilities</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Sinotrans</w:t>
            </w:r>
          </w:p>
        </w:tc>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3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231F20"/>
              </w:rPr>
              <w:t>Operating and finance lease</w:t>
            </w: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11"/>
          </w:tcPr>
          <w:p>
            <w:pPr>
              <w:jc w:val="center"/>
              <w:ind w:right="55"/>
              <w:spacing w:after="0"/>
              <w:rPr>
                <w:sz w:val="20"/>
                <w:szCs w:val="20"/>
                <w:color w:val="auto"/>
              </w:rPr>
            </w:pPr>
            <w:r>
              <w:rPr>
                <w:rFonts w:ascii="Times New Roman" w:cs="Times New Roman" w:eastAsia="Times New Roman" w:hAnsi="Times New Roman"/>
                <w:sz w:val="14"/>
                <w:szCs w:val="14"/>
                <w:b w:val="1"/>
                <w:bCs w:val="1"/>
                <w:color w:val="231F20"/>
              </w:rPr>
              <w:t>Year ended December 31,</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360" w:type="dxa"/>
            <w:vAlign w:val="bottom"/>
            <w:gridSpan w:val="2"/>
            <w:vMerge w:val="continue"/>
          </w:tcPr>
          <w:p>
            <w:pPr>
              <w:spacing w:after="0"/>
              <w:rPr>
                <w:sz w:val="12"/>
                <w:szCs w:val="12"/>
                <w:color w:val="auto"/>
              </w:rPr>
            </w:pPr>
          </w:p>
        </w:tc>
        <w:tc>
          <w:tcPr>
            <w:tcW w:w="2180" w:type="dxa"/>
            <w:vAlign w:val="bottom"/>
          </w:tcPr>
          <w:p>
            <w:pPr>
              <w:spacing w:after="0"/>
              <w:rPr>
                <w:sz w:val="12"/>
                <w:szCs w:val="12"/>
                <w:color w:val="auto"/>
              </w:rPr>
            </w:pPr>
          </w:p>
        </w:tc>
        <w:tc>
          <w:tcPr>
            <w:tcW w:w="2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8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Cost:</w:t>
            </w:r>
          </w:p>
        </w:tc>
        <w:tc>
          <w:tcPr>
            <w:tcW w:w="2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Sinotrans</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231F20"/>
              </w:rPr>
              <w:t>Selling, general and administrative expenses:</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Sinotrans</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231F20"/>
              </w:rPr>
              <w:t>Interest expense:</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Sinotrans</w:t>
            </w:r>
          </w:p>
        </w:tc>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9"/>
        </w:trPr>
        <w:tc>
          <w:tcPr>
            <w:tcW w:w="6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4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F-42</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hanging="652"/>
        <w:spacing w:after="0"/>
        <w:tabs>
          <w:tab w:leader="none" w:pos="6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net loss per share have been calculated in accordance with ASC 260 for the years ended December 31,</w:t>
      </w:r>
    </w:p>
    <w:p>
      <w:pPr>
        <w:spacing w:after="0" w:line="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2023,2024 and 2025. The following table sets forth the computation of basic and diluted net loss per share:</w:t>
      </w:r>
    </w:p>
    <w:p>
      <w:pPr>
        <w:spacing w:after="0" w:line="214"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tcBorders>
              <w:bottom w:val="single" w:sz="8" w:color="auto"/>
            </w:tcBorders>
            <w:gridSpan w:val="7"/>
          </w:tcPr>
          <w:p>
            <w:pPr>
              <w:ind w:left="740"/>
              <w:spacing w:after="0"/>
              <w:rPr>
                <w:sz w:val="20"/>
                <w:szCs w:val="20"/>
                <w:color w:val="auto"/>
              </w:rPr>
            </w:pPr>
            <w:r>
              <w:rPr>
                <w:rFonts w:ascii="Times New Roman" w:cs="Times New Roman" w:eastAsia="Times New Roman" w:hAnsi="Times New Roman"/>
                <w:sz w:val="14"/>
                <w:szCs w:val="14"/>
                <w:b w:val="1"/>
                <w:bCs w:val="1"/>
                <w:color w:val="231F20"/>
              </w:rPr>
              <w:t>Year ended December 31,</w:t>
            </w: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1000" w:type="dxa"/>
            <w:vAlign w:val="bottom"/>
            <w:gridSpan w:val="2"/>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    2023</w:t>
            </w:r>
          </w:p>
        </w:tc>
        <w:tc>
          <w:tcPr>
            <w:tcW w:w="20" w:type="dxa"/>
            <w:vAlign w:val="bottom"/>
          </w:tcPr>
          <w:p>
            <w:pPr>
              <w:spacing w:after="0"/>
              <w:rPr>
                <w:sz w:val="12"/>
                <w:szCs w:val="12"/>
                <w:color w:val="auto"/>
              </w:rPr>
            </w:pPr>
          </w:p>
        </w:tc>
        <w:tc>
          <w:tcPr>
            <w:tcW w:w="2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ordinary shareholders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(124,812)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(274,121)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 basic and diluted</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89,100,415</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114,318,765</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379,914,317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and per ADS, basic and diluted</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Basic and diluted loss per ordinary share and per ADS is computed using the weighted average number of ordinary shares outstanding during the year. Both Class A and Class B ordinary shares are included in the calculation of the weighted average number of ordinary shares outstanding, basic and diluted.</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following ordinary share equivalents were excluded from the computation of diluted net loss per share to eliminate any antidilutive effect:</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7"/>
          </w:tcPr>
          <w:p>
            <w:pPr>
              <w:ind w:left="6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780" w:type="dxa"/>
            <w:vAlign w:val="bottom"/>
            <w:tcBorders>
              <w:bottom w:val="single" w:sz="8" w:color="auto"/>
            </w:tcBorders>
          </w:tcPr>
          <w:p>
            <w:pPr>
              <w:spacing w:after="0"/>
              <w:rPr>
                <w:sz w:val="15"/>
                <w:szCs w:val="15"/>
                <w:color w:val="auto"/>
              </w:rPr>
            </w:pPr>
          </w:p>
        </w:tc>
      </w:tr>
      <w:tr>
        <w:trPr>
          <w:trHeight w:val="142"/>
        </w:trPr>
        <w:tc>
          <w:tcPr>
            <w:tcW w:w="3360" w:type="dxa"/>
            <w:vAlign w:val="bottom"/>
          </w:tcPr>
          <w:p>
            <w:pPr>
              <w:spacing w:after="0"/>
              <w:rPr>
                <w:sz w:val="12"/>
                <w:szCs w:val="12"/>
                <w:color w:val="auto"/>
              </w:rPr>
            </w:pPr>
          </w:p>
        </w:tc>
        <w:tc>
          <w:tcPr>
            <w:tcW w:w="2380" w:type="dxa"/>
            <w:vAlign w:val="bottom"/>
            <w:gridSpan w:val="2"/>
          </w:tcPr>
          <w:p>
            <w:pPr>
              <w:ind w:left="22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2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198,629,097</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184,928,573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Share options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703,470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526,711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4,866,897</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3,788,705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23,820,031</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13,215,528</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RSAs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2,767,115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106,395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2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17,974</w:t>
            </w:r>
          </w:p>
        </w:tc>
        <w:tc>
          <w:tcPr>
            <w:tcW w:w="1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205,906,361</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209,381,710</w:t>
            </w:r>
          </w:p>
        </w:tc>
        <w:tc>
          <w:tcPr>
            <w:tcW w:w="160" w:type="dxa"/>
            <w:vAlign w:val="bottom"/>
            <w:gridSpan w:val="2"/>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18,082,425</w:t>
            </w:r>
          </w:p>
        </w:tc>
      </w:tr>
      <w:tr>
        <w:trPr>
          <w:trHeight w:val="20"/>
        </w:trPr>
        <w:tc>
          <w:tcPr>
            <w:tcW w:w="3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60" w:hanging="652"/>
        <w:spacing w:after="0"/>
        <w:tabs>
          <w:tab w:leader="none" w:pos="66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NET ASSETS</w:t>
      </w:r>
    </w:p>
    <w:p>
      <w:pPr>
        <w:spacing w:after="0" w:line="215" w:lineRule="exact"/>
        <w:rPr>
          <w:rFonts w:ascii="Times New Roman" w:cs="Times New Roman" w:eastAsia="Times New Roman" w:hAnsi="Times New Roman"/>
          <w:sz w:val="18"/>
          <w:szCs w:val="18"/>
          <w:b w:val="1"/>
          <w:bCs w:val="1"/>
          <w:color w:val="auto"/>
        </w:rPr>
      </w:pPr>
    </w:p>
    <w:p>
      <w:pPr>
        <w:jc w:val="both"/>
        <w:ind w:left="6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Relevant Chinese mainland laws and regulations permit the Chinese mainland companies to pay dividends only out of their retained earnings, if any, as determined in accordance with the Chinese mainland accounting standards and regulations. Additionally, the Company’s Chinese mainland subsidiaries can only distribute dividends upon approval of the shareholders after they have met the Chinese mainland requirements for appropriation to the general reserve fund and the statutory surplus fund respectively. The general reserve fund and the statutory surplus fund require that annual appropriations of 10% of net after-tax income should be set aside prior to payment of any dividends. As a result of these and other restrictions under the Chinese mainland laws and regulations, the Chinese mainland subsidiaries are restricted in their ability to transfer a portion of their net assets to the Company either in the form of dividends, loans or advances, which restricted portion amounted to approximately $918.9 million as of December 31, 2025. Even though the Company currently does not require any such dividends, loans or advances from the Chinese mainland subsidiaries for working capital and other funding purposes, the Company may in the future require additional cash resources from its Chinese mainland subsidiaries due to changes in business conditions, to fund future acquisitions and developments, or merely declare and pay dividends to or distributions to the Company’s shareholders. Furthermore, cash transfers from the Company’s Chinese mainland subsidiaries to their parent companies outside of Chinese mainland are subject to the Chinese mainland government control of currency conversion. Shortages in availability of foreign currency may restrict the ability of the Chinese mainland subsidiaries to remit sufficient foreign currency to pay dividends or other payments to the Company, or otherwise satisfy its foreign currency denominated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hanging="652"/>
        <w:spacing w:after="0"/>
        <w:tabs>
          <w:tab w:leader="none" w:pos="66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PARENT COMPANY ONLY CONDENSED FINANCIAL INFORMATION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performed a test on the restricted net assets of its consolidated subsidiaries and the VIEs in accordance with Securities and Exchange Commission Regulation S-X Rule 4-08 (e) (3), “General Notes to Financial Statements” and concluded that it was applicable for the Company to disclose the financial information for the Company only.</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subsidiaries did not pay any dividend to the Company for the years presented. Certain information and footnote disclosures generally included in the financial statements prepared in accordance with U.S. GAAP have been condensed and omitted. The Company did not have significant capital and other commitments or guarantees as of December 31, 2025.</w:t>
      </w:r>
    </w:p>
    <w:p>
      <w:pPr>
        <w:spacing w:after="0" w:line="175"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accounting policies are the same as the Group’s accounting policies with the exception of the accounting for the investments in subsidiaries and the consolidated VIEs.</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parent company only condensed financial information, the Company records its investments in subsidiaries and the consolidated VIEs under the equity method of accounting as prescribed in ASC 323. Such investments are presented in the condensed balance sheets as “Accumulated deficit in its subsidiaries, the VIEs and the VIEs’ subsidiaries” and shares in the subsidiaries and the consolidated VIEs’ financial results are presented as “Equity in loss of its subsidiaries, the VIEs and the VIEs’ subsidiaries” in the condensed statements of operation and comprehensive loss. The parent company only condensed financial information should be read in conjunction with the Group’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hanging="652"/>
        <w:spacing w:after="0"/>
        <w:tabs>
          <w:tab w:leader="none" w:pos="66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PARENT COMPANY ONLY CONDENSED FINANCIAL INFORMATION -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PONY AI INC.</w:t>
      </w:r>
    </w:p>
    <w:p>
      <w:pPr>
        <w:spacing w:after="0" w:line="3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(All amounts in USD thousands, except share and per share data)</w:t>
      </w:r>
    </w:p>
    <w:p>
      <w:pPr>
        <w:spacing w:after="0" w:line="214"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6680" w:type="dxa"/>
            <w:vAlign w:val="bottom"/>
            <w:gridSpan w:val="2"/>
          </w:tcPr>
          <w:p>
            <w:pPr>
              <w:ind w:left="65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446,873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Short-term investments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73,925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Receivables from subsidiaries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1,027,644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1,294,764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1,550,282</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2,142,896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Prepayment for long-term investments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83,373</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355,667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1,633,655</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2,498,563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Amounts due to subsidiaries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18,612</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30,507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6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Non-current liabilities:</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Accumulated deficit in its subsidiaries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663,921</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815,321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non-current liabilities</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663,921</w:t>
            </w: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815,779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682,533</w:t>
            </w: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846,286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Pony AI Inc. shareholders’ equity:</w:t>
            </w: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68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Class A ordinary shares ($0.0005 par value, 498,911,230 shares and 498,911,230 shares</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authorized as of December 31, 2024 and 2025, respectively; 269,203,783 shares and</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352,452,783 shares issued and outstanding as of December 31, 2024 and 2025, respectively)</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68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Class B ordinary shares ($0.0005 par value, 81,088,770 shares and 81,088,770 shares</w:t>
            </w: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authorized, issued and outstanding as of December 31, 2024 and 2025, respectively)</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2,228,444</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3,078,559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Special reserve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(1,287,851)</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(1,421,955)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10,134</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Total Pony AI Inc. shareholders' equity</w:t>
            </w:r>
          </w:p>
        </w:tc>
        <w:tc>
          <w:tcPr>
            <w:tcW w:w="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951,122</w:t>
            </w:r>
          </w:p>
        </w:tc>
        <w:tc>
          <w:tcPr>
            <w:tcW w:w="18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1,652,277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shareholders' equity</w:t>
            </w:r>
          </w:p>
        </w:tc>
        <w:tc>
          <w:tcPr>
            <w:tcW w:w="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1,633,655</w:t>
            </w:r>
          </w:p>
        </w:tc>
        <w:tc>
          <w:tcPr>
            <w:tcW w:w="1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2,498,563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20"/>
          </w:cols>
          <w:pgMar w:left="980" w:top="513" w:right="12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hanging="652"/>
        <w:spacing w:after="0"/>
        <w:tabs>
          <w:tab w:leader="none" w:pos="66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PARENT COMPANY ONLY CONDENSED FINANCIAL INFORMATION - </w:t>
      </w:r>
      <w:r>
        <w:rPr>
          <w:rFonts w:ascii="Times New Roman" w:cs="Times New Roman" w:eastAsia="Times New Roman" w:hAnsi="Times New Roman"/>
          <w:sz w:val="18"/>
          <w:szCs w:val="18"/>
          <w:color w:val="auto"/>
        </w:rPr>
        <w:t>continued</w:t>
      </w:r>
    </w:p>
    <w:p>
      <w:pPr>
        <w:spacing w:after="0" w:line="1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PONY AI INC.</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CONDENSED STATEMENTS OF OPERATION AND COMPREHENSIVE LOSS</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(All amounts in USD thousands, except share and per share data)</w:t>
      </w:r>
    </w:p>
    <w:p>
      <w:pPr>
        <w:spacing w:after="0" w:line="214"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6180" w:type="dxa"/>
            <w:vAlign w:val="bottom"/>
            <w:gridSpan w:val="2"/>
          </w:tcPr>
          <w:p>
            <w:pPr>
              <w:ind w:left="60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   2024</w:t>
            </w:r>
          </w:p>
        </w:tc>
        <w:tc>
          <w:tcPr>
            <w:tcW w:w="22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(8,137)</w:t>
            </w:r>
          </w:p>
        </w:tc>
        <w:tc>
          <w:tcPr>
            <w:tcW w:w="18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(10,401)</w:t>
            </w:r>
          </w:p>
        </w:tc>
        <w:tc>
          <w:tcPr>
            <w:tcW w:w="18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(8,137)</w:t>
            </w:r>
          </w:p>
        </w:tc>
        <w:tc>
          <w:tcPr>
            <w:tcW w:w="1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(10,401)</w:t>
            </w:r>
          </w:p>
        </w:tc>
        <w:tc>
          <w:tcPr>
            <w:tcW w:w="1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 income</w:t>
            </w: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Changes in fair value of warrants liability</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Equity in loss of its subsidiaries, the VIEs and the VIEs’ subsidiaries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(125,267)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(285,176)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(135,417)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(expenses) income, net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(124,812)</w:t>
            </w:r>
          </w:p>
        </w:tc>
        <w:tc>
          <w:tcPr>
            <w:tcW w:w="18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(274,121)</w:t>
            </w:r>
          </w:p>
        </w:tc>
        <w:tc>
          <w:tcPr>
            <w:tcW w:w="18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(133,969)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(124,812)</w:t>
            </w:r>
          </w:p>
        </w:tc>
        <w:tc>
          <w:tcPr>
            <w:tcW w:w="1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(274,121)</w:t>
            </w:r>
          </w:p>
        </w:tc>
        <w:tc>
          <w:tcPr>
            <w:tcW w:w="1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(133,969)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Unrealized gain (loss) on available-for-sale financial assets, net of tax of nil</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8,511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4,489</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(5,808)</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(120,323)</w:t>
            </w:r>
          </w:p>
        </w:tc>
        <w:tc>
          <w:tcPr>
            <w:tcW w:w="18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(268,313)</w:t>
            </w:r>
          </w:p>
        </w:tc>
        <w:tc>
          <w:tcPr>
            <w:tcW w:w="1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(149,002)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20"/>
          </w:cols>
          <w:pgMar w:left="980" w:top="513" w:right="129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PONY AI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 </w:t>
      </w:r>
      <w:r>
        <w:rPr>
          <w:rFonts w:ascii="Times New Roman" w:cs="Times New Roman" w:eastAsia="Times New Roman" w:hAnsi="Times New Roman"/>
          <w:sz w:val="17"/>
          <w:szCs w:val="17"/>
          <w:color w:val="auto"/>
        </w:rPr>
        <w:t>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 AMOUNTS IN USD THOUSANDS, EXCEPT SHARE, PER SHARE AND PER ADS DATA OR OTHERWISE NOTED)</w:t>
      </w:r>
    </w:p>
    <w:p>
      <w:pPr>
        <w:spacing w:after="0" w:line="164" w:lineRule="exact"/>
        <w:rPr>
          <w:sz w:val="20"/>
          <w:szCs w:val="20"/>
          <w:color w:val="auto"/>
        </w:rPr>
      </w:pPr>
    </w:p>
    <w:p>
      <w:pPr>
        <w:ind w:left="660" w:hanging="652"/>
        <w:spacing w:after="0"/>
        <w:tabs>
          <w:tab w:leader="none" w:pos="6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PARENT COMPANY ONLY CONDENSED FINANCIAL INFORMATION - </w:t>
      </w:r>
      <w:r>
        <w:rPr>
          <w:rFonts w:ascii="Times New Roman" w:cs="Times New Roman" w:eastAsia="Times New Roman" w:hAnsi="Times New Roman"/>
          <w:sz w:val="18"/>
          <w:szCs w:val="18"/>
          <w:color w:val="auto"/>
        </w:rPr>
        <w:t>continued</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PONY AI INC.</w:t>
      </w:r>
    </w:p>
    <w:p>
      <w:pPr>
        <w:spacing w:after="0" w:line="3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3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(All amounts in USD thousands, except share and per share data)</w:t>
      </w:r>
    </w:p>
    <w:p>
      <w:pPr>
        <w:spacing w:after="0" w:line="22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5980" w:type="dxa"/>
            <w:vAlign w:val="bottom"/>
            <w:gridSpan w:val="2"/>
          </w:tcPr>
          <w:p>
            <w:pPr>
              <w:ind w:left="58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2024</w:t>
            </w:r>
          </w:p>
        </w:tc>
        <w:tc>
          <w:tcPr>
            <w:tcW w:w="900" w:type="dxa"/>
            <w:vAlign w:val="bottom"/>
            <w:tcBorders>
              <w:top w:val="single" w:sz="8" w:color="auto"/>
            </w:tcBorders>
            <w:gridSpan w:val="2"/>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6"/>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(35,692)</w:t>
            </w:r>
          </w:p>
        </w:tc>
        <w:tc>
          <w:tcPr>
            <w:tcW w:w="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12,210</w:t>
            </w:r>
          </w:p>
        </w:tc>
        <w:tc>
          <w:tcPr>
            <w:tcW w:w="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(36,539)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(20,649)</w:t>
            </w:r>
          </w:p>
        </w:tc>
        <w:tc>
          <w:tcPr>
            <w:tcW w:w="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(102,609)</w:t>
            </w:r>
          </w:p>
        </w:tc>
        <w:tc>
          <w:tcPr>
            <w:tcW w:w="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(653,498)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Purchases of long-term investments</w:t>
            </w:r>
          </w:p>
        </w:tc>
        <w:tc>
          <w:tcPr>
            <w:tcW w:w="8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(65,568)</w:t>
            </w:r>
          </w:p>
        </w:tc>
        <w:tc>
          <w:tcPr>
            <w:tcW w:w="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Prepayment for long-term investments</w:t>
            </w:r>
          </w:p>
        </w:tc>
        <w:tc>
          <w:tcPr>
            <w:tcW w:w="8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the sales and maturities of short-term investments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172,214</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101,443</w:t>
            </w:r>
          </w:p>
        </w:tc>
        <w:tc>
          <w:tcPr>
            <w:tcW w:w="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Proceeds from the sales and maturities of long-term investments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49,590</w:t>
            </w:r>
          </w:p>
        </w:tc>
        <w:tc>
          <w:tcPr>
            <w:tcW w:w="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27,891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Investment in subsidiaries</w:t>
            </w:r>
          </w:p>
        </w:tc>
        <w:tc>
          <w:tcPr>
            <w:tcW w:w="8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Loans to third parties</w:t>
            </w:r>
          </w:p>
        </w:tc>
        <w:tc>
          <w:tcPr>
            <w:tcW w:w="8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(13,512)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repayment of loans to third parties</w:t>
            </w:r>
          </w:p>
        </w:tc>
        <w:tc>
          <w:tcPr>
            <w:tcW w:w="8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Loan to a subsidiary</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(96,093)</w:t>
            </w:r>
          </w:p>
        </w:tc>
        <w:tc>
          <w:tcPr>
            <w:tcW w:w="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(172,406)</w:t>
            </w:r>
          </w:p>
        </w:tc>
        <w:tc>
          <w:tcPr>
            <w:tcW w:w="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(193,501)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105,062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(262,443)</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(1,024,067)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proceeds from issuance of Series D convertible redeemable preferred shares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Proceeds from issuance of Class A ordinary shares upon the completion of IPO and</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9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CPP, net of issuance cost of $9,442</w:t>
            </w:r>
          </w:p>
        </w:tc>
        <w:tc>
          <w:tcPr>
            <w:tcW w:w="8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408,404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75"/>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5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issuance of Class A ordinary shares upon the completion of Dual</w:t>
            </w: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Primary Listing, net of issuance cost of $7,973</w:t>
            </w:r>
          </w:p>
        </w:tc>
        <w:tc>
          <w:tcPr>
            <w:tcW w:w="8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829,351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Repurchase/Settlement of RSUs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exercise of share options</w:t>
            </w:r>
          </w:p>
        </w:tc>
        <w:tc>
          <w:tcPr>
            <w:tcW w:w="8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Payment for the repurchase of ordinary 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Payment for the repurchase of Series A convertible redeemable preferred shares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95,186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408,404</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819,339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164,556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158,157</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(241,416)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124,160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288,716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446,873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cash equivalents and restricted cash at end of year</w:t>
            </w:r>
          </w:p>
        </w:tc>
        <w:tc>
          <w:tcPr>
            <w:tcW w:w="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288,716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446,873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205,457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60" w:hanging="652"/>
        <w:spacing w:after="0"/>
        <w:tabs>
          <w:tab w:leader="none" w:pos="66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31, 2026, the Company disposed of all convertible bonds investments for an aggregate consideration of KRW 15.7 billion (equivalent to $10.9 million), comprising principal of KRW 15.3 billion ($10.5 million) and accrued interest expenses of KRW 0.4 billion ($0.4 million).</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adopted a new employee equity incentive scheme (the “2026 Share Scheme”) on April 2, 2026. The maximum number of ordinary shares that may be issued under the 2026 Share Scheme is 43,354,155, which is subject to certain adjustments pursuant to the terms of the 2026 Share Scheme. The Company granted 8,988,299 RSUs to its directors, employees and one service provider, and 15,000 options to one employee under the 2026 Share Scheme. These share awards carry a 10-year contractual term and vest over a period of one to four years starting from the date specified in each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0" w:name="page231"/>
    <w:bookmarkEnd w:id="230"/>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tc>
      </w:tr>
      <w:tr>
        <w:trPr>
          <w:trHeight w:val="410"/>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PONY AI INC.</w:t>
            </w: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8"/>
        </w:trPr>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DIRECTOR AGREEMENT</w:t>
            </w: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1"/>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This Director Agreement (the “Agreement”) is made and entered into as of</w:t>
            </w:r>
          </w:p>
        </w:tc>
        <w:tc>
          <w:tcPr>
            <w:tcW w:w="600" w:type="dxa"/>
            <w:vAlign w:val="bottom"/>
          </w:tcPr>
          <w:p>
            <w:pPr>
              <w:spacing w:after="0"/>
              <w:rPr>
                <w:sz w:val="24"/>
                <w:szCs w:val="24"/>
                <w:color w:val="auto"/>
              </w:rPr>
            </w:pPr>
          </w:p>
        </w:tc>
        <w:tc>
          <w:tcPr>
            <w:tcW w:w="31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by and between Pony AI Inc., an</w:t>
            </w:r>
          </w:p>
        </w:tc>
      </w:tr>
      <w:tr>
        <w:trPr>
          <w:trHeight w:val="20"/>
        </w:trPr>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80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auto"/>
              </w:rPr>
              <w:t>exempted company incorporated and existing under the laws of the Cayman Islands (the “Company”), and</w:t>
            </w:r>
          </w:p>
        </w:tc>
        <w:tc>
          <w:tcPr>
            <w:tcW w:w="158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(the</w:t>
            </w:r>
          </w:p>
        </w:tc>
      </w:tr>
      <w:tr>
        <w:trPr>
          <w:trHeight w:val="196"/>
        </w:trPr>
        <w:tc>
          <w:tcPr>
            <w:tcW w:w="61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“Director”).</w:t>
            </w:r>
          </w:p>
        </w:tc>
        <w:tc>
          <w:tcPr>
            <w:tcW w:w="6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53"/>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w:t>
            </w:r>
          </w:p>
        </w:tc>
        <w:tc>
          <w:tcPr>
            <w:tcW w:w="576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The Director was appointed to serve as a director of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with effect from . The appointment shall continue for an initial period ending on the earlier of (i) three (3) years from the first day when dealings in the Class A ordinary shares of the Company commence on The Stock Exchange of Hong Kong Limited (the “</w:t>
      </w:r>
      <w:r>
        <w:rPr>
          <w:rFonts w:ascii="Times New Roman" w:cs="Times New Roman" w:eastAsia="Times New Roman" w:hAnsi="Times New Roman"/>
          <w:sz w:val="18"/>
          <w:szCs w:val="18"/>
          <w:u w:val="single" w:color="auto"/>
          <w:color w:val="auto"/>
        </w:rPr>
        <w:t>Stock Exchange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Listing Date</w:t>
      </w:r>
      <w:r>
        <w:rPr>
          <w:rFonts w:ascii="Times New Roman" w:cs="Times New Roman" w:eastAsia="Times New Roman" w:hAnsi="Times New Roman"/>
          <w:sz w:val="18"/>
          <w:szCs w:val="18"/>
          <w:color w:val="auto"/>
        </w:rPr>
        <w:t>”) and (ii) the third annual general meeting of the Company following the Listing Date, subject to re-election as and when required under the terms of the then-current Memorandum and Articles of Association of the Company (the “</w:t>
      </w:r>
      <w:r>
        <w:rPr>
          <w:rFonts w:ascii="Times New Roman" w:cs="Times New Roman" w:eastAsia="Times New Roman" w:hAnsi="Times New Roman"/>
          <w:sz w:val="18"/>
          <w:szCs w:val="18"/>
          <w:u w:val="single" w:color="auto"/>
          <w:color w:val="auto"/>
        </w:rPr>
        <w:t>Memorandum and Articles</w:t>
      </w:r>
      <w:r>
        <w:rPr>
          <w:rFonts w:ascii="Times New Roman" w:cs="Times New Roman" w:eastAsia="Times New Roman" w:hAnsi="Times New Roman"/>
          <w:sz w:val="18"/>
          <w:szCs w:val="18"/>
          <w:color w:val="auto"/>
        </w:rPr>
        <w:t>”) and the termination provision in Section 5.2 hereof (the date of expiry or termination of the appointment,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The Board shall consist of the Director and such other members as are nominated and elected pursuant to the Memorandum and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-854075</wp:posOffset>
            </wp:positionV>
            <wp:extent cx="73977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0">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1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Director Services</w:t>
      </w:r>
      <w:r>
        <w:rPr>
          <w:rFonts w:ascii="Times New Roman" w:cs="Times New Roman" w:eastAsia="Times New Roman" w:hAnsi="Times New Roman"/>
          <w:sz w:val="18"/>
          <w:szCs w:val="18"/>
          <w:color w:val="auto"/>
        </w:rPr>
        <w:t>. The Director’s services to the Company hereunder shall include service on the Board and service on the audit committee, compensation committee, nomination committee and corporate governance committee (where applicable) of the Board in accordance with applicable law and stock exchange rules as well as the Memorandum and Articles, and such other services mutually agreed to by the Director and the Company (the “</w:t>
      </w:r>
      <w:r>
        <w:rPr>
          <w:rFonts w:ascii="Times New Roman" w:cs="Times New Roman" w:eastAsia="Times New Roman" w:hAnsi="Times New Roman"/>
          <w:sz w:val="18"/>
          <w:szCs w:val="18"/>
          <w:u w:val="single" w:color="auto"/>
          <w:color w:val="auto"/>
        </w:rPr>
        <w:t>Director Services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hanging="652"/>
        <w:spacing w:after="0"/>
        <w:tabs>
          <w:tab w:leader="none" w:pos="66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Director Compensation</w:t>
      </w:r>
      <w:r>
        <w:rPr>
          <w:rFonts w:ascii="Times New Roman" w:cs="Times New Roman" w:eastAsia="Times New Roman" w:hAnsi="Times New Roman"/>
          <w:sz w:val="18"/>
          <w:szCs w:val="18"/>
          <w:color w:val="auto"/>
        </w:rPr>
        <w:t>. The Director shall [</w:t>
      </w:r>
      <w:r>
        <w:rPr>
          <w:rFonts w:ascii="Times New Roman" w:cs="Times New Roman" w:eastAsia="Times New Roman" w:hAnsi="Times New Roman"/>
          <w:sz w:val="18"/>
          <w:szCs w:val="18"/>
          <w:i w:val="1"/>
          <w:iCs w:val="1"/>
          <w:color w:val="auto"/>
        </w:rPr>
        <w:t>for independent non-executive directors</w:t>
      </w:r>
      <w:r>
        <w:rPr>
          <w:rFonts w:ascii="Times New Roman" w:cs="Times New Roman" w:eastAsia="Times New Roman" w:hAnsi="Times New Roman"/>
          <w:sz w:val="18"/>
          <w:szCs w:val="18"/>
          <w:color w:val="auto"/>
        </w:rPr>
        <w:t>: be entitled to a director’s fee payable by the Company as set out in a separate written director agreement between the Director and the Company. The Company may, in its sole discretion, grant share based awards (in the form of share options, restricted share units or any other forms of share incentives) to you from time to time, as determined by the Board in accordance with the terms of the current share incentive plan(s), accordingly such share based awards (if any) will form part of your compensation] / [</w:t>
      </w:r>
      <w:r>
        <w:rPr>
          <w:rFonts w:ascii="Times New Roman" w:cs="Times New Roman" w:eastAsia="Times New Roman" w:hAnsi="Times New Roman"/>
          <w:sz w:val="18"/>
          <w:szCs w:val="18"/>
          <w:i w:val="1"/>
          <w:iCs w:val="1"/>
          <w:color w:val="auto"/>
        </w:rPr>
        <w:t>for other non-executive directors</w:t>
      </w:r>
      <w:r>
        <w:rPr>
          <w:rFonts w:ascii="Times New Roman" w:cs="Times New Roman" w:eastAsia="Times New Roman" w:hAnsi="Times New Roman"/>
          <w:sz w:val="18"/>
          <w:szCs w:val="18"/>
          <w:color w:val="auto"/>
        </w:rPr>
        <w:t>: not receive any director’s fee].</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Director and Officer Liability Insurance.</w:t>
      </w:r>
      <w:r>
        <w:rPr>
          <w:rFonts w:ascii="Times New Roman" w:cs="Times New Roman" w:eastAsia="Times New Roman" w:hAnsi="Times New Roman"/>
          <w:sz w:val="18"/>
          <w:szCs w:val="18"/>
          <w:color w:val="auto"/>
        </w:rPr>
        <w:t xml:space="preserve"> The Company shall maintain a customary director and officer liability insurance policy to insure the Director against any losses incurred in lawsuits or other legal proceedings brought against the Director in connection with the Director Services.</w:t>
      </w:r>
    </w:p>
    <w:p>
      <w:pPr>
        <w:spacing w:after="0" w:line="172" w:lineRule="exact"/>
        <w:rPr>
          <w:sz w:val="20"/>
          <w:szCs w:val="20"/>
          <w:color w:val="auto"/>
        </w:rPr>
      </w:pPr>
    </w:p>
    <w:p>
      <w:pPr>
        <w:ind w:left="660" w:hanging="652"/>
        <w:spacing w:after="0"/>
        <w:tabs>
          <w:tab w:leader="none" w:pos="66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DUTIES OF DIRECTOR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Fiduciary Duties</w:t>
      </w:r>
      <w:r>
        <w:rPr>
          <w:rFonts w:ascii="Times New Roman" w:cs="Times New Roman" w:eastAsia="Times New Roman" w:hAnsi="Times New Roman"/>
          <w:sz w:val="18"/>
          <w:szCs w:val="18"/>
          <w:color w:val="auto"/>
        </w:rPr>
        <w:t>. In fulfilling his/her responsibilities, the Director shall be charged with a fiduciary duty to the Company as well as duties of skill, care and diligence to a standard at least commensurate with the standard established by Hong Kong law. The Director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31" w:name="page232"/>
    <w:bookmarkEnd w:id="231"/>
    <w:p>
      <w:pPr>
        <w:spacing w:after="0" w:line="282" w:lineRule="auto"/>
        <w:rPr>
          <w:sz w:val="20"/>
          <w:szCs w:val="20"/>
          <w:color w:val="auto"/>
        </w:rPr>
      </w:pPr>
      <w:r>
        <w:rPr>
          <w:rFonts w:ascii="Times New Roman" w:cs="Times New Roman" w:eastAsia="Times New Roman" w:hAnsi="Times New Roman"/>
          <w:sz w:val="18"/>
          <w:szCs w:val="18"/>
          <w:color w:val="auto"/>
        </w:rPr>
        <w:t>attentive and inform himself/herself of all material facts regarding a decision before taking action. In addition, the Director’s actions shall be motivated solely by the best interests of the Company. In particular, in the performance of the Director Services, the Director must:</w:t>
      </w:r>
    </w:p>
    <w:p>
      <w:pPr>
        <w:spacing w:after="0" w:line="162" w:lineRule="exact"/>
        <w:rPr>
          <w:sz w:val="20"/>
          <w:szCs w:val="20"/>
          <w:color w:val="auto"/>
        </w:rPr>
      </w:pPr>
    </w:p>
    <w:p>
      <w:pPr>
        <w:ind w:left="980" w:hanging="324"/>
        <w:spacing w:after="0"/>
        <w:tabs>
          <w:tab w:leader="none" w:pos="980" w:val="left"/>
        </w:tabs>
        <w:numPr>
          <w:ilvl w:val="0"/>
          <w:numId w:val="13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act honestly and in good faith in the interests of the Company as a whole;</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13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act for proper purpose;</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13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be answerable to the Company for the application or misapplication of the Company’s assets;</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13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avoid actual and potential conflicts of interest and duty;</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13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disclose fully and fairly his/ her interests in contracts with the Company; and</w:t>
      </w:r>
    </w:p>
    <w:p>
      <w:pPr>
        <w:spacing w:after="0" w:line="224" w:lineRule="exact"/>
        <w:rPr>
          <w:rFonts w:ascii="Arial" w:cs="Arial" w:eastAsia="Arial" w:hAnsi="Arial"/>
          <w:sz w:val="18"/>
          <w:szCs w:val="18"/>
          <w:b w:val="1"/>
          <w:bCs w:val="1"/>
          <w:color w:val="auto"/>
        </w:rPr>
      </w:pPr>
    </w:p>
    <w:p>
      <w:pPr>
        <w:ind w:left="980" w:hanging="324"/>
        <w:spacing w:after="0" w:line="281" w:lineRule="auto"/>
        <w:tabs>
          <w:tab w:leader="none" w:pos="980" w:val="left"/>
        </w:tabs>
        <w:numPr>
          <w:ilvl w:val="0"/>
          <w:numId w:val="13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apply such degree of skill, care and diligence as may reasonably be expected of a person of his/her knowledge and experience and holding his/her office within the Company.</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During the Term of this Agreement, and for a period of one (1) year after the Expiration Date, the Director shall maintain in strict confidence all information he/she has obtained or shall obtain from the Company that the Company has designated as “confidential” or that is by its nature confidential, relating to the Company’s business, operations, properties, assets, services, condition (financial or otherwise), liabilities, employee relations, customers (including customer usage statistics), suppliers, prospects, technology, or trade secrets, except to the extent such information (i) is in the public domain through no act or omission of the Director, (ii) is required to be disclosed by law or a valid order by a court or other governmental body, or (iii) is independently learned by the Director outside of his/her relationship with the Company and its affiliates (the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Nondisclosure and Nonuse Obligations</w:t>
      </w:r>
      <w:r>
        <w:rPr>
          <w:rFonts w:ascii="Times New Roman" w:cs="Times New Roman" w:eastAsia="Times New Roman" w:hAnsi="Times New Roman"/>
          <w:sz w:val="18"/>
          <w:szCs w:val="18"/>
          <w:color w:val="auto"/>
        </w:rPr>
        <w:t>. The Director will use the Confidential Information solely to perform the Director Services for the benefit of the Company. The Director will treat all Confidential Information of the Company with the same degree of care as the Director treats his/her own Confidential Information, and the Director will use his/her best efforts to protect the Confidential Information. The Director will not use the Confidential Information for his/her own benefit or the benefit of any other person or entity, except as may be specifically permitted in this Agreement. The Director will immediately give notice to the Company of any unauthorized use or disclosure by or through him/her, or of which he/she becomes aware, of the Confidential Information. The Director agrees to assist the Company in remedying any such unauthorized use or disclosure of the Confidential Information.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Return of the Company Property</w:t>
      </w:r>
      <w:r>
        <w:rPr>
          <w:rFonts w:ascii="Times New Roman" w:cs="Times New Roman" w:eastAsia="Times New Roman" w:hAnsi="Times New Roman"/>
          <w:sz w:val="18"/>
          <w:szCs w:val="18"/>
          <w:color w:val="auto"/>
        </w:rPr>
        <w:t>. All materials furnished to the Director by the Company, whether delivered to the Director by the Company or made by the Director in the performance of any Director Services under this Agreement (the “</w:t>
      </w:r>
      <w:r>
        <w:rPr>
          <w:rFonts w:ascii="Times New Roman" w:cs="Times New Roman" w:eastAsia="Times New Roman" w:hAnsi="Times New Roman"/>
          <w:sz w:val="18"/>
          <w:szCs w:val="18"/>
          <w:u w:val="single" w:color="auto"/>
          <w:color w:val="auto"/>
        </w:rPr>
        <w:t>Company Property</w:t>
      </w:r>
      <w:r>
        <w:rPr>
          <w:rFonts w:ascii="Times New Roman" w:cs="Times New Roman" w:eastAsia="Times New Roman" w:hAnsi="Times New Roman"/>
          <w:sz w:val="18"/>
          <w:szCs w:val="18"/>
          <w:color w:val="auto"/>
        </w:rPr>
        <w:t>”), are the sole and exclusive property of the Company. The Director agrees to promptly deliver the original and any copies of the Company Property to the Company at any time upon the Company’s request. Upon termination of this Agreement by either party for any reason, the Director agrees to promptly deliver to the Company or destroy, at the Company’s option, the original and any copies of the Company Property. The Director agrees to certify in writing that the Director has so returned or destroyed all such Company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32" w:name="page233"/>
    <w:bookmarkEnd w:id="232"/>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COVENANTS OF DIRECTOR</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No Conflict of Interest</w:t>
      </w:r>
      <w:r>
        <w:rPr>
          <w:rFonts w:ascii="Times New Roman" w:cs="Times New Roman" w:eastAsia="Times New Roman" w:hAnsi="Times New Roman"/>
          <w:sz w:val="18"/>
          <w:szCs w:val="18"/>
          <w:color w:val="auto"/>
        </w:rPr>
        <w:t>. During the Term of this Agreement, the Director shall not be employed by, own, manage, control or participate in the ownership, management, operation or control of any business entity that is competitive with the Company or otherwise undertake any obligation inconsistent with the terms hereof. A business entity shall be deemed to be “competitive with the Company” for purpose of this Article IV only if and to the extent it engages in the business substantially similar to the Company’s business. If the Director undertakes any duty, investment or other obligation that may present a conflict of interest prohibited under this Section 4.1, the Director shall inform the Board in advance. If the Board decides such proposed new obligation would present an actual conflict of interest prohibited hereunder and the Director still undertakes the new obligation, the Board shall have the right to remove the Director from the Board.</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Noninterference with Business</w:t>
      </w:r>
      <w:r>
        <w:rPr>
          <w:rFonts w:ascii="Times New Roman" w:cs="Times New Roman" w:eastAsia="Times New Roman" w:hAnsi="Times New Roman"/>
          <w:sz w:val="18"/>
          <w:szCs w:val="18"/>
          <w:color w:val="auto"/>
        </w:rPr>
        <w:t>. During the Term of this Agreement, and for a period of one (1) year after the Expiration Date, the Director agrees not to interfere with the business of the Company in any manner. By way of example and not of limitation, the Director agrees not to solicit or induce any employee, independent contractor, customer, supplier or business partner of the Company to terminate or breach his/her/its employment, contractual or other relationship with the Company.</w:t>
      </w:r>
    </w:p>
    <w:p>
      <w:pPr>
        <w:spacing w:after="0" w:line="176" w:lineRule="exact"/>
        <w:rPr>
          <w:sz w:val="20"/>
          <w:szCs w:val="20"/>
          <w:color w:val="auto"/>
        </w:rPr>
      </w:pPr>
    </w:p>
    <w:p>
      <w:pPr>
        <w:ind w:left="660" w:hanging="652"/>
        <w:spacing w:after="0"/>
        <w:tabs>
          <w:tab w:leader="none" w:pos="66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AND TERMINATION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is effective as of the Listing Date and will continue until the Expiration Date. This Agreement may be extended for an additional term of three years after the end of the initial term if the parties hereto mutually agree in writing to such extension, or if the Director is re-elected at a meeting of the shareholders of the Company or re-appointed by the Board pursuant to the Memorandum and Articles. The initial three-year term and the extension thereof in accordance with this Section 5.1 are collectively referred to as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Either party may terminate this Agreement at any time upon thirty (30) days prior written notice to the other party, or such shorter period as the parties may agree upon. Pursuant to Rule 3.20 of the Rules Governing the Listing of Securities on The Stock Exchange of Hong Kong Limited, immediately upon your resignation as a Director and for a period of three years, you are required to provide up to date contact information, including an address for correspondence with and services of notices and other documents by the Stock Exchange and telephone number.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rights and obligations contained in Articles III and IV will survive any termination or expiration of this Agreement.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Except as expressly permitted by this Agreement, neither party shall assign, delegate, or otherwise transfer any of its rights or obligations under this Agreement without the prior written consent of the other party. Subject to the foregoing, this Agreement will be binding upon and inure to the benefit of the parties hereto and their respective heirs, legal representatives,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33" w:name="page234"/>
    <w:bookmarkEnd w:id="23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The failure of any party to insist upon the strict observance and performance of the terms of this Agreement shall not be deemed a waiver of other obligations hereunder, nor shall it be considered a future or continuing waiver of the same terms.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by this Agreement shall be in writing and shall be delivered as follows with notice deemed given as indicated: (i) by personal delivery when delivered personally; (ii) by overnight courier upon written verification of receipt; (iii) by facsimile transmission upon acknowledgment of receipt of electronic transmission; or (iv) by certified or registered mail, return receipt requested, upon verification of receipt. Notice shall be sent to the addresses set forth on the signature page of this Agreement or such other address as either party may specify in writing.</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Governing Law and Jurisdiction</w:t>
      </w:r>
      <w:r>
        <w:rPr>
          <w:rFonts w:ascii="Times New Roman" w:cs="Times New Roman" w:eastAsia="Times New Roman" w:hAnsi="Times New Roman"/>
          <w:sz w:val="18"/>
          <w:szCs w:val="18"/>
          <w:color w:val="auto"/>
        </w:rPr>
        <w:t>. This Agreement shall be governed in all respects by the laws of Hong Kong without regard to conflicts of law principles thereof. All disputes, controversies or claims arising out of or in connection with this Agreement, including the breach, termination or invalidity of this Agreement, shall be finally settled under the Rules of Arbitration of the International Chamber of Commerce in force on the date when the notice of arbitration is submitted in accordance with these rules. The arbitration proceedings shall be conducted in English. The arbitration procedures specified in this Agreement shall be the sole and exclusive procedures for the resolution of disputes between the parties arising out of or relating to this Agreement; provided, however, that a party may seek a preliminary injunction or other preliminary judicial relief from a court with competent jurisdiction over the other party, if in its judgment such action is necessary to avoid irreparable harm or damages. Despite such action the parties will continue to participate in good faith in the arbitration procedures specified in this Agreement.</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Should any provisions of this Agreement be held by a court of law to be illegal, invalid or unenforceable, the legality, validity and enforceability of the remaining provisions of this Agreement shall not be affected or impaired thereby.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between the parties relating to this subject matter and supersedes all prior or contemporaneous oral or written agreements concerning such subject matter. The terms of this Agreement will govern all Director Services undertaken by the Director for the Company.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only be amended, modified or changed by an agreement signed by the Company and the Director. The terms contained herein may not be altered, supplemented or interpreted by any course of dealing or practices.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counterparts,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Pony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151765</wp:posOffset>
            </wp:positionV>
            <wp:extent cx="31457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Name: Jun Peng (</w:t>
      </w:r>
      <w:r>
        <w:rPr>
          <w:rFonts w:ascii="SimSun" w:cs="SimSun" w:eastAsia="SimSun" w:hAnsi="SimSun"/>
          <w:sz w:val="18"/>
          <w:szCs w:val="18"/>
          <w:color w:val="auto"/>
        </w:rPr>
        <w:t>彭军</w:t>
      </w:r>
      <w:r>
        <w:rPr>
          <w:rFonts w:ascii="Times New Roman" w:cs="Times New Roman" w:eastAsia="Times New Roman" w:hAnsi="Times New Roman"/>
          <w:sz w:val="18"/>
          <w:szCs w:val="18"/>
          <w:color w:val="auto"/>
        </w:rPr>
        <w: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i w:val="1"/>
          <w:iCs w:val="1"/>
          <w:color w:val="auto"/>
        </w:rPr>
        <w:t>[Signature Page to Director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5715</wp:posOffset>
            </wp:positionV>
            <wp:extent cx="27686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7">
                      <a:extLst>
                        <a:ext uri="{28A0092B-C50C-407E-A947-70E740481C1C}"/>
                      </a:extLst>
                    </a:blip>
                    <a:srcRect/>
                    <a:stretch>
                      <a:fillRect/>
                    </a:stretch>
                  </pic:blipFill>
                  <pic:spPr bwMode="auto">
                    <a:xfrm>
                      <a:off x="0" y="0"/>
                      <a:ext cx="276860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1180465</wp:posOffset>
            </wp:positionV>
            <wp:extent cx="156845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8">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ind w:right="3059"/>
        <w:spacing w:after="0"/>
        <w:rPr>
          <w:sz w:val="20"/>
          <w:szCs w:val="20"/>
          <w:color w:val="auto"/>
        </w:rPr>
      </w:pPr>
      <w:r>
        <w:rPr>
          <w:rFonts w:ascii="Times New Roman" w:cs="Times New Roman" w:eastAsia="Times New Roman" w:hAnsi="Times New Roman"/>
          <w:sz w:val="18"/>
          <w:szCs w:val="18"/>
          <w:i w:val="1"/>
          <w:iCs w:val="1"/>
          <w:color w:val="auto"/>
        </w:rPr>
        <w:t>[Signature Page to Director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31" w:right="1440"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920" w:type="dxa"/>
            <w:vAlign w:val="bottom"/>
          </w:tcPr>
          <w:p>
            <w:pPr>
              <w:ind w:left="3160"/>
              <w:spacing w:after="0"/>
              <w:rPr>
                <w:sz w:val="20"/>
                <w:szCs w:val="20"/>
                <w:color w:val="auto"/>
              </w:rPr>
            </w:pPr>
            <w:r>
              <w:rPr>
                <w:rFonts w:ascii="Times New Roman" w:cs="Times New Roman" w:eastAsia="Times New Roman" w:hAnsi="Times New Roman"/>
                <w:sz w:val="18"/>
                <w:szCs w:val="18"/>
                <w:b w:val="1"/>
                <w:bCs w:val="1"/>
                <w:color w:val="auto"/>
              </w:rPr>
              <w:t>List of Principal Subsidiaries of the Registrant</w:t>
            </w:r>
          </w:p>
        </w:tc>
        <w:tc>
          <w:tcPr>
            <w:tcW w:w="18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10"/>
        </w:trPr>
        <w:tc>
          <w:tcPr>
            <w:tcW w:w="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Principal Subsidiaries</w:t>
            </w:r>
          </w:p>
        </w:tc>
        <w:tc>
          <w:tcPr>
            <w:tcW w:w="2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Place of Incorporation</w:t>
            </w:r>
          </w:p>
        </w:tc>
      </w:tr>
      <w:tr>
        <w:trPr>
          <w:trHeight w:val="191"/>
        </w:trPr>
        <w:tc>
          <w:tcPr>
            <w:tcW w:w="20" w:type="dxa"/>
            <w:vAlign w:val="bottom"/>
          </w:tcPr>
          <w:p>
            <w:pPr>
              <w:spacing w:after="0"/>
              <w:rPr>
                <w:sz w:val="16"/>
                <w:szCs w:val="16"/>
                <w:color w:val="auto"/>
              </w:rPr>
            </w:pPr>
          </w:p>
        </w:tc>
        <w:tc>
          <w:tcPr>
            <w:tcW w:w="6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Pony.ai, Inc.</w:t>
            </w:r>
          </w:p>
        </w:tc>
        <w:tc>
          <w:tcPr>
            <w:tcW w:w="180" w:type="dxa"/>
            <w:vAlign w:val="bottom"/>
          </w:tcPr>
          <w:p>
            <w:pPr>
              <w:spacing w:after="0"/>
              <w:rPr>
                <w:sz w:val="16"/>
                <w:szCs w:val="16"/>
                <w:color w:val="auto"/>
              </w:rPr>
            </w:pPr>
          </w:p>
        </w:tc>
        <w:tc>
          <w:tcPr>
            <w:tcW w:w="2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Delaware, United States</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Hongkong Pony AI Limited</w:t>
            </w:r>
          </w:p>
        </w:tc>
        <w:tc>
          <w:tcPr>
            <w:tcW w:w="1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Hong Kong, PRC</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Beijing (ZX) Pony AI Technology Co., Ltd.</w:t>
            </w:r>
          </w:p>
        </w:tc>
        <w:tc>
          <w:tcPr>
            <w:tcW w:w="1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Beijing (HX) Pony AI Technology Co., Ltd.</w:t>
            </w:r>
          </w:p>
        </w:tc>
        <w:tc>
          <w:tcPr>
            <w:tcW w:w="1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Guangzhou (ZX) Pony AI Technology Co., Ltd.</w:t>
            </w:r>
          </w:p>
        </w:tc>
        <w:tc>
          <w:tcPr>
            <w:tcW w:w="1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Guangzhou (HX) Pony AI Technology Co., Ltd.</w:t>
            </w:r>
          </w:p>
        </w:tc>
        <w:tc>
          <w:tcPr>
            <w:tcW w:w="1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Beijing (YX) Pony AI Technology Co., Ltd.</w:t>
            </w:r>
          </w:p>
        </w:tc>
        <w:tc>
          <w:tcPr>
            <w:tcW w:w="1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Shanghai (YX) Pony AI Technology Co., Ltd.</w:t>
            </w:r>
          </w:p>
        </w:tc>
        <w:tc>
          <w:tcPr>
            <w:tcW w:w="1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Guangzhou (YX) Pony AI Technology Co., Ltd.</w:t>
            </w:r>
          </w:p>
        </w:tc>
        <w:tc>
          <w:tcPr>
            <w:tcW w:w="1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Beijing (RX) Pony AI Technology Co., Ltd.</w:t>
            </w:r>
          </w:p>
        </w:tc>
        <w:tc>
          <w:tcPr>
            <w:tcW w:w="1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Guangzhou Pony Intelligent Logistics Technology Co., Ltd</w:t>
            </w:r>
          </w:p>
        </w:tc>
        <w:tc>
          <w:tcPr>
            <w:tcW w:w="1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Shenzhen (YX) Pony AI Technology Co., Ltd.</w:t>
            </w:r>
          </w:p>
        </w:tc>
        <w:tc>
          <w:tcPr>
            <w:tcW w:w="1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Cyantron Logistics Technology Co., Ltd.</w:t>
            </w:r>
          </w:p>
        </w:tc>
        <w:tc>
          <w:tcPr>
            <w:tcW w:w="1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Shanghai (ZX) Pony AI Technology Development Co., Ltd.</w:t>
            </w:r>
          </w:p>
        </w:tc>
        <w:tc>
          <w:tcPr>
            <w:tcW w:w="18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34"/>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Qingdao Cyantron Logistics Technology Co., Ltd.</w:t>
            </w:r>
          </w:p>
        </w:tc>
        <w:tc>
          <w:tcPr>
            <w:tcW w:w="18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777"/>
        </w:trPr>
        <w:tc>
          <w:tcPr>
            <w:tcW w:w="2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8"/>
          <w:szCs w:val="18"/>
          <w:b w:val="1"/>
          <w:bCs w:val="1"/>
          <w:color w:val="auto"/>
        </w:rPr>
        <w:t>Exhibit 11.1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Pony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Initially adopted October 17, 2024 and amended on October 23,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Code of Business Conduct and Ethics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has been adopted by our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and summarizes the standards that must guide our actions. Although they cover a wide range of business practices and procedures, these standards cannot and do not cover every issue that may arise, or every situation in which ethical decisions must be made, but rather set forth key guiding principles that represent Company policies and establish conditions for employment at the Company.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must strive to foster a culture of honesty and accountability. Our commitment to the highest level of ethical conduct should be reflected in all of the Company’s business activities, including, but not limited to, relationships with employees, customers, suppliers, competitors, the government, the public and our shareholders. All of our employees, officers and directors must conduct themselves according to the language and spirit of this Code and seek to avoid even the appearance of improper behavior. Even well-intentioned actions that violate the law or this Code may result in negative consequences for the Company and for the individuals involved.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One of our Company’s most valuable assets is our reputation for integrity, professionalism and fairness. We should all recognize that our actions are the foundation of our reputation and adhering to this Code and applicable law is imperative.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employees, officers and directors have an obligation to conduct themselves in an honest and ethical manner and to act in the best interest of the Company. All employees, officers and directors should endeavor to avoid situations that present a potential or actual conflict between their interest and the interest of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“conflict of interest” occurs when a person’s private interest interferes in any way, or even appears to interfere, with the interests of the Company as a whole, including those of its subsidiaries and affiliates. A conflict of interest may arise when an employee, officer or director takes an action or has an interest that may make it difficult for him or her to perform his or her work objectively and effectively. A conflict of interest may also arise when an employee, officer or director (or a member of his or her family) receives improper personal benefits as a result of the employee’s, officer’s or director’s position in the Company.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it would not be possible to describe every situation in which a conflict of interest may arise, the following are examples of situations that may constitute a conflict of interest:</w:t>
      </w:r>
    </w:p>
    <w:p>
      <w:pPr>
        <w:spacing w:after="0" w:line="162" w:lineRule="exact"/>
        <w:rPr>
          <w:sz w:val="20"/>
          <w:szCs w:val="20"/>
          <w:color w:val="auto"/>
        </w:rPr>
      </w:pPr>
    </w:p>
    <w:p>
      <w:pPr>
        <w:ind w:left="340" w:hanging="332"/>
        <w:spacing w:after="0"/>
        <w:tabs>
          <w:tab w:leader="none" w:pos="3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in any capacity, for a competitor, customer or supplier while employed by the Company.</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Accepting gifts of more than modest value or receiving personal discounts (if such discounts are not generally offered to the public) or other benefits as a result of your position in the Company from a competitor, customer or supplier.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38" w:name="page239"/>
    <w:bookmarkEnd w:id="238"/>
    <w:p>
      <w:pPr>
        <w:ind w:left="340" w:hanging="332"/>
        <w:spacing w:after="0"/>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with the Company for the purchase or sale of property, products, services or other interests.</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an interest in a transaction involving the Company, a competitor, customer or supplier (other than as an employee, officer or director of the Company and not including routine investments in publicly traded companies).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a loan or guarantee of an obligation as a result of your position with the Company.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Directing business to a supplier owned or managed by, or which employs, a relative or friend.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Situations involving a conflict of interest may not always be obvious or easy to resolve. You should report actions that may involve a conflict of interest to the Audit Committee of the Board.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avoid conflicts of interests, senior executive officers and directors must disclose to the Audit Committee of the Board any material transaction or relationship that reasonably could be expected to give rise to such a conflict. Conflicts of interests involving the Audit Committee of the Board shall be disclosed to the Board.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an actual or apparent conflict of interest arises between the personal and professional relationship or activities of an employee, officer or director, the employee, officer or director involved is required to handle such conflict of interest in an ethical manner in accordance with the provisions of this Code.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Quality of Public Disclosures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responsibility to provide full and accurate information in our public disclosures, in all material respects, about the Company’s financial condition and results of operations. Our reports and documents filed with or submitted to the United States Securities and Exchange Commission and our other public communications shall include full, fair, accurate, timely and understandable disclosure.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Laws, Rules and Regulations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strongly committed to conducting our business affairs with honesty and integrity and in full compliance with all applicable laws, rules and regulations. No employee, officer or director of the Company shall commit an illegal or unethical act, or instruct others to do so, for any reason.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Whistleblower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Compliance with this Code and Reporting of Any Illegal or Unethical Behavior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employees, directors and officers are expected to comply with all of the provisions of this Code. The Code will be strictly enforced, and violations will be dealt with immediately, including by subjecting persons who violate its provisions to corrective and/or disciplinary action such as dismissal or removal from office. Violations of the Code that involve illegal behavior will be reported to the appropriate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39" w:name="page240"/>
    <w:bookmarkEnd w:id="239"/>
    <w:p>
      <w:pPr>
        <w:jc w:val="both"/>
        <w:spacing w:after="0" w:line="256" w:lineRule="auto"/>
        <w:rPr>
          <w:sz w:val="20"/>
          <w:szCs w:val="20"/>
          <w:color w:val="auto"/>
        </w:rPr>
      </w:pPr>
      <w:r>
        <w:rPr>
          <w:rFonts w:ascii="Times New Roman" w:cs="Times New Roman" w:eastAsia="Times New Roman" w:hAnsi="Times New Roman"/>
          <w:sz w:val="18"/>
          <w:szCs w:val="18"/>
          <w:color w:val="auto"/>
        </w:rPr>
        <w:t>Situations which may involve a violation of ethics, laws, rules, regulations or this Code may not always be clear and may require the exercise of judgment or the making of difficult decisions. Employees, officers and directors should promptly report any concerns about a violation of ethics, laws, rules, regulations or this Code to their supervisors or the legal department or a department with similar duties and responsibilities of the Company (the “Legal Department”) or, in the case of accounting, internal accounting controls or auditing matters, the Audit Committee of the Board. Interested parties may also communicate directly with the Company’s non-management directors through contact information located in the Company’s annual report.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concerns about a violation of ethics, laws, rules, regulations or this Code by any senior executive officer or director should be reported promptly to the Audit Committee of the Board. Any such concerns involving the Audit Committee should be reported to the Board. Reporting of such violations may also be done anonymously through email to the Company at a designated email address for compliance reporting. An anonymous report should provide enough information about the incident or situation to allow the Company to investigate properly. If concerns or complaints require confidentiality, including keeping an identity anonymous, the Company will endeavor to protect this confidentiality, subject to applicable law, regulation or legal proceedings.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encourages all employees, officers, directors and third parties who deal with the Group to report any suspected violations promptly and intends to thoroughly investigate any good faith reports of violations. The Company will not tolerate any kind of retaliation for reports or complaints regarding misconduct that were made in good faith. Open communication of issues and concerns by all employees, officers, directors and third parties who deal with the Group without fear of retribution or retaliation is vital to the successful implementation of this Code. All employees, officers, directors and third parties who deal with the Group are required to cooperate in any internal investigations of misconduct and unethical behavior.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Confidentiality will be maintained to the fullest extent possible, unless otherwise consented to by the reporting party, as may be necessary to conduct a thorough investigation or as required to be disclosed by law.</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the need for this Code to be applied equally to everyone it covers. The Legal Department of the Company will have primary authority and responsibility for the enforcement of this Code, subject to the supervision of the Audit Committee of the Board, and the Company will devote the necessary resources to enable the Legal Department to establish such procedures as may be reasonably necessary to create a culture of accountability and facilitate compliance with this Code. Questions concerning this Code should be directed to the Legal Department.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has the overall responsibility for this whistleblower policy, but has delegated the day-to-day responsibility for overseeing and implementing this whistleblower policy to the Legal Department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of this section are qualified in their entirety by reference to the following section.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Reporting Violations to a Governmental Agency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Employees have the right under applicable law to certain protections for cooperating with or reporting legal violations to governmental agencies or entities and self-regulatory organizations. As such, nothing in this Code is intended to prohibit any employee from disclosing or reporting violations to, or from cooperating with, a governmental agency or entity or self-regulatory organization, and employees may do so without notifying the Company. The Company may not retaliate against all employees for any of these activities, and nothing in this Code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40" w:name="page241"/>
    <w:bookmarkEnd w:id="240"/>
    <w:p>
      <w:pPr>
        <w:spacing w:after="0" w:line="282" w:lineRule="auto"/>
        <w:rPr>
          <w:sz w:val="20"/>
          <w:szCs w:val="20"/>
          <w:color w:val="auto"/>
        </w:rPr>
      </w:pPr>
      <w:r>
        <w:rPr>
          <w:rFonts w:ascii="Times New Roman" w:cs="Times New Roman" w:eastAsia="Times New Roman" w:hAnsi="Times New Roman"/>
          <w:sz w:val="18"/>
          <w:szCs w:val="18"/>
          <w:color w:val="auto"/>
        </w:rPr>
        <w:t>requires any employee to waive any monetary award or other payment that he or she might become entitled to from a governmental agency or entity, or self-regulatory organization.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employees of the Company have the right to:</w:t>
      </w:r>
    </w:p>
    <w:p>
      <w:pPr>
        <w:spacing w:after="0" w:line="225" w:lineRule="exact"/>
        <w:rPr>
          <w:sz w:val="20"/>
          <w:szCs w:val="20"/>
          <w:color w:val="auto"/>
        </w:rPr>
      </w:pPr>
    </w:p>
    <w:p>
      <w:pPr>
        <w:ind w:left="340" w:right="20" w:hanging="332"/>
        <w:spacing w:after="0" w:line="282" w:lineRule="auto"/>
        <w:tabs>
          <w:tab w:leader="none" w:pos="3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possible violations of applicable law or regulation that have occurred, are occurring, or are about to occur to any governmental agency or entity, or self-regulatory organization;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voluntarily with, or respond to any inquiry from, or provide testimony before any self- regulatory organization or any other national or local regulatory or law enforcement authority;</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reports or disclosures to law enforcement or a regulatory authority without prior notice to, or authorization from, the Company;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truthfully to a valid subpoena.</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employees have the right to not be retaliated against for reporting, either internally to the Company or to any governmental agency or entity or self-regulatory organization, information which the employee reasonably believes relates to a possible violation of law. It is a violation of law to retaliate against anyone who has reported such potential misconduct either internally or to any governmental agency or entity or self-regulatory organization. Retaliatory conduct includes discharge, demotion, suspension, threats, harassment, and any other manner of discrimination in the terms and conditions of employment because of any lawful act the employee may have performed. It is unlawful for the company to retaliate against an employee for reporting possible misconduct either internally or to any governmental agency or entity or self-regulatory organization when requested by such agency or organization.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anything contained in this Code or otherwise, employees may disclose confidential Company information, including the existence and terms of any confidential agreements between the employee and the Company (including employment or severance agreements), to any governmental agency or entity or self-regulatory organization when requested by such agency or organization.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cannot require an employee to withdraw reports or filings alleging possible violations of national or local law or regulation, and the Company may not offer employees any kind of inducement, including payment, to do so.</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employee’s rights and remedies as a whistleblower protected under applicable whistleblower laws, including a monetary award, if any, may not be waived by any agreement, policy form, or condition of employment, including by a predispute arbitration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an employee has participated in a possible violation of law, the employee may be eligible to participate in the confidentiality and retaliation protections afforded under applicable whistleblower laws, and the employee may also be eligible to receive an award under such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Waivers and Amendments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waiver (including any implicit waiver) of the provisions in this Code for executive officers or directors may only be granted by the Board or a committee thereof and will be promptly disclosed to the Company’s shareholders. Any such waiver will also be disclosed in the Company’s annual report and in accordance with the applicable rules and laws. Amendments to this Code must be approved by the Board and will also be disclosed in the Company’s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color w:val="auto"/>
        </w:rPr>
        <w:t>Trading on Inside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Using non-public Company information to trade in securities, or providing a family member, friend or any other person with non-public Company information, is illegal. All non-public, Company information should be considered inside information and should never be used for personal gain. You are required to familiarize yourself and comply with the Company’s Statement of Policy Concerning Trading in Company Securities, copies of which are distributed to all employees, officers and directors and are available from the Legal Department. You should contact the Legal Department with any questions about your ability to buy or sell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Protection of Confidential Proprietary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Confidential proprietary information generated by and gathered in our business is a valuable Company asset. Protecting this information plays a vital role in our continued growth and ability to compete, and all proprietary information should be maintained in strict confidence, except when disclosure is authorized by the Company or required by law.</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Proprietary information includes all non-public information that might be useful to competitors or that could be harmful to the Company, its customers or its suppliers if disclosed. Intellectual property such as trade secrets, patents, trademarks and copyrights, as well as business, research and new product plans, objectives and strategies, records, databases, salary and benefits data, employee medical information, customer, employee and suppliers lists and any unpublished financial or pricing information must also be protected.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Unauthorized use or distribution of proprietary information violates Company policy and could be illegal. Such use or distribution could result in negative consequences for both the Company and the individuals involved, including potential legal and disciplinary actions. We respect the property rights of other companies and their proprietary information and require our employees, officers and directors to observe such rights.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Your obligation to protect the Company’s proprietary and confidential information continues even after you leave the Company, and you must return all proprietary information in your possession upon leaving the Company.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provisions of this section are qualified in their entirety by the section entitled “Reporting Violations to Governmental Agencies”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Protection and Proper Use of Company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Protecting Company assets against loss, theft or other misuse is the responsibility of every employee, officer and director. Loss, theft and misuse of Company assets directly impact our profitability. Any suspected loss, misuse or theft should be reported to a supervisor or the Legal Department.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sole purpose of the Company’s equipment, vehicles, supplies and electronic resources (including hardware, software and the data thereon) is the conduct of our business. They may only be used for Company business consistent with Company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color w:val="auto"/>
        </w:rPr>
        <w:t>Corporate Opportunities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Employees, officers and directors are prohibited from taking for themselves business opportunities that are discovered through the use of corporate property, information or position. No employee, officer or director may use corporate property, information or position for personal gain, and no employee, officer or director may compete with the Company. Competing with the Company may involve engaging in the same line of business as the Company or any situation in which the employee, officer or director takes away from the Company opportunities for sales or purchases of property, products, services or interests. Employees, officers and directors owe a duty to the Company to advance its legitimate interests when the opportunity to do so arises.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Dealing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employee, officer and director of the Company should endeavor to deal fairly with customers, suppliers, competitors, the public and one another at all times and in accordance with ethical business practices.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employee has an obligation to comply with the anti-corruption and anti-bribery laws of the People’s Republic of China and any other regions and countries in which the Company operates. No one should take unfair advantage of anyone through manipulation, concealment, abuse of privileged information, misrepresentation of material facts or any other unfair dealing practice. No bribes, kickbacks or other similar payments in any form shall be made directly or indirectly to or for anyone for the purpose of obtaining or retaining business or obtaining any other favorable action. In the event of a violation of these provisions, the Company and any employee, officer or director involved may be subject to disciplinary action as well as potential civil or criminal liability for violation of this policy.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Occasional business gifts to, or entertainment of, non-government employees in connection with business discussions or the development of business relationships are generally deemed appropriate in the conduct of Company business. However, these gifts should be given infrequently and their value should be modest. Gifts or entertainment in any form that would likely result in a feeling or expectation of personal obligation should not be extended or accepted.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Practices that are acceptable in a commercial business environment may be against the law or the policies governing national or local government employees. Therefore, no gifts or business entertainment of any kind may be given to any government employee without the prior approval of a supervisor or the Legal Department.</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Except in certain limited circumstances, the United States Foreign Corrupt Practices Act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prohibits giving anything of value directly or indirectly to any “non-U.S. official” for the purpose of obtaining or retaining business. When in doubt as to whether a contemplated payment or gift may violate the FCPA or other applicable rules and laws, contact a supervisor or the Audit Committee of the Board before taking any 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Equal Opportunity, Non-Discrimination and Fair Employment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policies for recruitment, advancement and retention of employees forbid discrimination on the basis of any criteria prohibited by law, including but not limited to race, sex and age. Our policies are designed to ensure that employees are treated, and treat each other, fairly and with respect and dignity. In keeping with this objective, conduct involving discrimination or harassment of others will not be tolerated. All employees, officers and directors are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3" w:name="page244"/>
    <w:bookmarkEnd w:id="243"/>
    <w:p>
      <w:pPr>
        <w:jc w:val="both"/>
        <w:spacing w:after="0" w:line="282" w:lineRule="auto"/>
        <w:rPr>
          <w:sz w:val="20"/>
          <w:szCs w:val="20"/>
          <w:color w:val="auto"/>
        </w:rPr>
      </w:pPr>
      <w:r>
        <w:rPr>
          <w:rFonts w:ascii="Times New Roman" w:cs="Times New Roman" w:eastAsia="Times New Roman" w:hAnsi="Times New Roman"/>
          <w:sz w:val="18"/>
          <w:szCs w:val="18"/>
          <w:color w:val="auto"/>
        </w:rPr>
        <w:t>comply with the Company’s policy on equal opportunity, non-discrimination and fair employment, copies of which were distributed by and are available from the Legal Department.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Antitrust Laws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antitrust laws prohibit agreements among competitors on such matters as prices, terms of sale to customers and the allocation of markets or customers. Antitrust laws can be complex, and violations may subject the Company and its employees to criminal sanctions, including fines, jail time and civil liability. If you have any questions about our antitrust compliance policies, consult the Legal Department.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Controls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Employees are required to comply with all applicable trade laws and economic sanctions laws and regulations. These laws generally apply to the import, export and transfer of certain products and technology by U.S.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Political Contributions and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political contributions made by or on behalf of the Company and any solicitations for political contributions of any kind must be lawful and in compliance with Company policies. This policy applies solely to the use of Company assets and is not intended to discourage or prevent individual employees, officers or directors from making political contributions or engaging in political activities on their own behalf. No one may be reimbursed directly or indirectly by the Company for personal political contributions.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 Health and Safety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committed to conducting our business in compliance with all applicable environmental and workplace health and safety laws and regulations. We strive to provide a safe and healthy work environment for our employees and to avoid adverse impact and injury to the environment and the communities in which we conduct our business. Achieving this goal is the responsibility of all officers, directors and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Dealings with the Community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committed to being a responsible member of and recognize the mutual benefits of engaging and building relationships with, the communities in which we operate. Wherever the Company operates, we strive to make a positive and meaningful contribution to the surrounding community and to ensure the distribution of a fair share of benefits to all stakeholders impacted by its activities, including the surrounding community. We strongly encourage our employees to play a positive role in the community.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color w:val="auto"/>
        </w:rPr>
        <w:t>Doing Business with Others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strive to promote the application of the standards of this Code by those with whom we do business. Our policies, therefore, prohibit the engaging of a third party to perform any act prohibited by law or by this Code, and we shall avoid doing business with others who intentionally and continually violate the law or the standards of this Code.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Accuracy of Company Financial Records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the highest standards in all matters relating to accounting, financial controls, internal reporting and taxation. All financial books, records and accounts must accurately reflect transactions and events and conform both to required accounting principles and to the Company’s system of internal controls. Records shall not be distorted in any way to hide, disguise or alter the Company’s true financial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Retention of Records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Company business records and communications shall be clear, truthful and accurate. Employees, officers and directors of the Company shall avoid exaggeration, guesswork, legal conclusions and derogatory remarks or characterizations of people and companies. This applies to communications of all kinds, including email and “informal” notes or memos. Records should always be handled according to the Company’s record retention policies. If an employee, officer or director is unsure whether a document should be retained, consult a supervisor or the Legal Department before proceeding.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Anti-Money Laundering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committed to preserving our reputation in the financial community by assisting in efforts to combat money laundering and terrorist financing. Money laundering is the practice of disguising the ownership or source of illegally obtained funds through a series of transactions to “clean” the funds, so they appear to be proceeds from legal activities.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measures to reduce the extent to which the Company’s facilities, products and services can be used for a purpose connected with market abuse or financial crimes. Additionally, where necessary, we screen customers, potential customers and suppliers to ensure that our products and services cannot be used to facilitate money laundering or terrorist activity. If you have any questions about our internal anti-money laundering process and procedure, consult the Legal Department.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Social Media</w:t>
      </w:r>
    </w:p>
    <w:p>
      <w:pPr>
        <w:spacing w:after="0" w:line="22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Unless you are authorized by the Company, you are discouraged from discussing the Company as part of your personal use of social media. While business should only be conducted through approved channels, we understand that social media is used as a source of information and as a form of communicating with friends, family and workplace contacts.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5" w:name="page246"/>
    <w:bookmarkEnd w:id="245"/>
    <w:p>
      <w:pPr>
        <w:ind w:right="40"/>
        <w:spacing w:after="0" w:line="282" w:lineRule="auto"/>
        <w:rPr>
          <w:sz w:val="20"/>
          <w:szCs w:val="20"/>
          <w:color w:val="auto"/>
        </w:rPr>
      </w:pPr>
      <w:r>
        <w:rPr>
          <w:rFonts w:ascii="Times New Roman" w:cs="Times New Roman" w:eastAsia="Times New Roman" w:hAnsi="Times New Roman"/>
          <w:sz w:val="18"/>
          <w:szCs w:val="18"/>
          <w:color w:val="auto"/>
        </w:rPr>
        <w:t>When you are using social media and identify yourself as a Company employee, officer or director or mention the Company incidentally, for instance on Weixin or professional networking site, please remember the following:</w:t>
      </w:r>
    </w:p>
    <w:p>
      <w:pPr>
        <w:spacing w:after="0" w:line="162" w:lineRule="exact"/>
        <w:rPr>
          <w:sz w:val="20"/>
          <w:szCs w:val="20"/>
          <w:color w:val="auto"/>
        </w:rPr>
      </w:pPr>
    </w:p>
    <w:p>
      <w:pPr>
        <w:ind w:left="340" w:hanging="332"/>
        <w:spacing w:after="0"/>
        <w:tabs>
          <w:tab w:leader="none" w:pos="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Never disclose confidential information about the Company or its business, customers or suppliers.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clear that any views expressed are your own and not those of the Company.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Remember that our policy on Equal Opportunity, Non-Discrimination and Fair Employment applies to social media sites.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respectful of your colleagues and all persons associated with the Company, including customers and suppliers.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report to the Company’s corporate communications department any social media content which inaccurately or inappropriately discusses the Company.</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Never respond to any information, including information that may be inaccurate about the Company.</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Never post documents, parts of documents, images or video or audio recordings that have been made with Company property or of Company products, services or people or at Company functions or events.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Professional Networking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Online networking on professional or industry sites has become an important and effective way for colleagues to stay in touch and exchange information. Employees, officers and directors should use good judgment when posting information about themselves or the Company on any of these services.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What you post about the Company or yourself will reflect on all of us. When using professional networking sites, you should observe the same standards of professionalism and integrity described in our code and follow the social media guidelines outlined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Drug-Free, Violence-Free Workplace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use of alcohol and drugs can impair your ability to work effectively and productively. Except at approved Company functions, or with appropriate authorization, you may not drink alcohol on Company premises.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You are prohibited from working while your performance is impaired by alcohol or any other drug whether legal or illegal. Additionally, you may not possess any non-pharmaceutical drugs on Company premises or at work-related functions.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strictly prohibit acts of hostility, intimidation or violence towards others in the workplace and in places where our business is being conducted. You may not bring firearms, explosives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color w:val="auto"/>
        </w:rPr>
        <w:t>other weapons onto Company premises, or to any work-related setting, regardless of whether you are licensed to carry such weapons.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Inquiries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cooperates with government agencies and authorities. Forward all requests for information, other than routine requests, to the Legal Department immediately to ensure that we respond appropriately.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information provided must be truthful and accurate. Never mislead any investigator. Do not ever alter or destroy documents or records subject to an investigation.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shall review this Code annually and make changes as appropriate.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18"/>
          <w:szCs w:val="18"/>
          <w:b w:val="1"/>
          <w:bCs w:val="1"/>
          <w:color w:val="auto"/>
        </w:rPr>
        <w:t>Exhibit 11.2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Pony AI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Policy Concerning Trading in Company Securities</w:t>
      </w:r>
    </w:p>
    <w:p>
      <w:pPr>
        <w:spacing w:after="0" w:line="225" w:lineRule="exact"/>
        <w:rPr>
          <w:sz w:val="20"/>
          <w:szCs w:val="20"/>
          <w:color w:val="auto"/>
        </w:rPr>
      </w:pPr>
    </w:p>
    <w:p>
      <w:pPr>
        <w:ind w:left="660" w:hanging="652"/>
        <w:spacing w:after="0"/>
        <w:tabs>
          <w:tab w:leader="none" w:pos="66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Policy Concerning Trading in Company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Pony AI Inc.’s and its subsidiaries’ (collectively, the “Company”) policy that it will, without exception, comply with all applicable laws and regulations in conducting its business (such policy, the “Trading Policy”). Each director, officer and employee (including part-time employees) of the Company and consultant, contractor and person who is seconded to the Company is expected to abide by this Trading Policy. Compliance with this policy is mandatory; any breach may subject you, as well as Group companies, to civil or criminal liability. It is important that you familiarise yourself with and comply with all the restrictions and requirements contained in this policy.</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When carrying out Company business, directors, officers and employees must avoid any activity that violates applicable laws or regulations. In order to avoid even an appearance of impropriety, the Company’s directors, officers and certain other employees are subject to pre-approval requirements described below and other limitations on their ability to enter into transactions involving the Company’s securities. Although these limitations do not apply to transactions pursuant to written plans for trading securities that comply with Rule 10b5-1 under the Securities Exchange Act of 1934, as amended (the “Exchange Act”), the adoption, amendment, suspension or termination of any such written trading plan is subject to pre-approval requirements and other limitations described in the Company’s Rule 10b5-1 Trading Plan Guidelines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85" w:lineRule="exact"/>
        <w:rPr>
          <w:sz w:val="20"/>
          <w:szCs w:val="20"/>
          <w:color w:val="auto"/>
        </w:rPr>
      </w:pPr>
    </w:p>
    <w:p>
      <w:pPr>
        <w:ind w:left="660" w:hanging="652"/>
        <w:spacing w:after="0"/>
        <w:tabs>
          <w:tab w:leader="none" w:pos="66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Use of Inside Information in Connection with Trading in Securities</w:t>
      </w:r>
    </w:p>
    <w:p>
      <w:pPr>
        <w:spacing w:after="0" w:line="225" w:lineRule="exact"/>
        <w:rPr>
          <w:sz w:val="20"/>
          <w:szCs w:val="20"/>
          <w:color w:val="auto"/>
        </w:rPr>
      </w:pPr>
    </w:p>
    <w:p>
      <w:pPr>
        <w:ind w:left="1300" w:hanging="1292"/>
        <w:spacing w:after="0"/>
        <w:tabs>
          <w:tab w:leader="none" w:pos="130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General Restrictions</w:t>
      </w:r>
    </w:p>
    <w:p>
      <w:pPr>
        <w:spacing w:after="0" w:line="22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Prohibition of Insider Trading under the U.S. Securities Regulations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securities laws regulate the sale and purchase of securities in the interest of protecting the investing public. U.S. securities laws give the Company, its directors, officers and other employees the responsibility to ensure that information about the Company is not used unlawfully in the purchase and sale of securities (such as stocks, bonds, notes, debentures, limited partnership units or other equity or debt securities).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directors, officers and employees should pay particularly close attention to the laws against trading on “inside” information (i.e. material non-public information (“MNPI”) under the US securities law). These laws are based upon the belief that all persons trading in a company’s securities should have equal access to all “material” information about that company. For example, if a director, officer or employee of a company knows material inside financial information, that person is prohibited from buying or selling shares in the company until the information has been adequately disclosed to the public. This is because the director, officer or employee knows information that could cause the share price to change, and it would be unfair for the director, officer or employee to have an advantage (knowledge that the share price could change) that the rest of the investing public does not have. In fact, it is more than unfair; it is considered to be fraudulent and illegal. Civil and criminal penalties for this kind of activity are severe.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general rule can be stated as follows: It is a violation of federal securities laws for any person to buy or sell securities if he or she is in possession of MNPI. Information is material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8" w:name="page249"/>
    <w:bookmarkEnd w:id="248"/>
    <w:p>
      <w:pPr>
        <w:jc w:val="both"/>
        <w:spacing w:after="0" w:line="266" w:lineRule="auto"/>
        <w:rPr>
          <w:sz w:val="20"/>
          <w:szCs w:val="20"/>
          <w:color w:val="auto"/>
        </w:rPr>
      </w:pPr>
      <w:r>
        <w:rPr>
          <w:rFonts w:ascii="Times New Roman" w:cs="Times New Roman" w:eastAsia="Times New Roman" w:hAnsi="Times New Roman"/>
          <w:sz w:val="18"/>
          <w:szCs w:val="18"/>
          <w:color w:val="auto"/>
        </w:rPr>
        <w:t>there is a substantial likelihood that a reasonable investor would consider it important in making an investment decision. Material information can be favorable or unfavorable. If it is not clear whether information is material, it should be treated as if it was material. Some examples of information that could be considered material include (but are not limited to):</w:t>
      </w:r>
    </w:p>
    <w:p>
      <w:pPr>
        <w:spacing w:after="0" w:line="176" w:lineRule="exact"/>
        <w:rPr>
          <w:sz w:val="20"/>
          <w:szCs w:val="20"/>
          <w:color w:val="auto"/>
        </w:rPr>
      </w:pPr>
    </w:p>
    <w:p>
      <w:pPr>
        <w:ind w:left="1300" w:hanging="320"/>
        <w:spacing w:after="0"/>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prospects and key performance indicators of the Company,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anticipated or targeted earnings and dividends and other financial information,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sales and other significant internal business forecasts, or a change in previously released estimates,</w:t>
      </w:r>
    </w:p>
    <w:p>
      <w:pPr>
        <w:spacing w:after="0" w:line="225" w:lineRule="exact"/>
        <w:rPr>
          <w:rFonts w:ascii="Times New Roman" w:cs="Times New Roman" w:eastAsia="Times New Roman" w:hAnsi="Times New Roman"/>
          <w:sz w:val="18"/>
          <w:szCs w:val="18"/>
          <w:color w:val="auto"/>
        </w:rPr>
      </w:pPr>
    </w:p>
    <w:p>
      <w:pPr>
        <w:ind w:left="660" w:firstLine="320"/>
        <w:spacing w:after="0" w:line="282" w:lineRule="auto"/>
        <w:tabs>
          <w:tab w:leader="none" w:pos="130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proposed mergers, business acquisitions, tender offers, joint ventures, restructurings, dispositions, or the expansion or curtailment of operations,</w:t>
      </w:r>
    </w:p>
    <w:p>
      <w:pPr>
        <w:spacing w:after="0" w:line="161" w:lineRule="exact"/>
        <w:rPr>
          <w:rFonts w:ascii="Times New Roman" w:cs="Times New Roman" w:eastAsia="Times New Roman" w:hAnsi="Times New Roman"/>
          <w:sz w:val="18"/>
          <w:szCs w:val="18"/>
          <w:color w:val="auto"/>
        </w:rPr>
      </w:pPr>
    </w:p>
    <w:p>
      <w:pPr>
        <w:jc w:val="both"/>
        <w:ind w:left="660" w:firstLine="320"/>
        <w:spacing w:after="0" w:line="266" w:lineRule="auto"/>
        <w:tabs>
          <w:tab w:leader="none" w:pos="137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cyber security or data protection events affecting the Company’s operations, including any breach of information systems that compromises the functioning of the Company’s information or other systems or results in the exposure or loss of customer information, in particular personal information,</w:t>
      </w:r>
    </w:p>
    <w:p>
      <w:pPr>
        <w:spacing w:after="0" w:line="175"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equity or debt offerings or significant borrowing,</w:t>
      </w:r>
    </w:p>
    <w:p>
      <w:pPr>
        <w:spacing w:after="0" w:line="225"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debt ratings, or analyst upgrades or downgrades of the issuer or one of its securities,</w:t>
      </w:r>
    </w:p>
    <w:p>
      <w:pPr>
        <w:spacing w:after="0" w:line="225"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accounting treatment, write-offs or effective tax rate,</w:t>
      </w:r>
    </w:p>
    <w:p>
      <w:pPr>
        <w:spacing w:after="0" w:line="225"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threatened significant litigation or governmental investigation, or the resolution thereof,</w:t>
      </w:r>
    </w:p>
    <w:p>
      <w:pPr>
        <w:spacing w:after="0" w:line="225"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problems or pending impending bankruptcy,</w:t>
      </w:r>
    </w:p>
    <w:p>
      <w:pPr>
        <w:spacing w:after="0" w:line="225"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auditors or auditor notification that the Company may no longer rely on an audit report,</w:t>
      </w:r>
    </w:p>
    <w:p>
      <w:pPr>
        <w:spacing w:after="0" w:line="225"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control of the Company or changes in the Board or top management, and</w:t>
      </w:r>
    </w:p>
    <w:p>
      <w:pPr>
        <w:spacing w:after="0" w:line="225"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splits or other corporate actions.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MNPI if it has not been publicly disclosed in a manner making it available to investors generally on a broad-based non-exclusionary basis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filing of a Form 6-K) and/or the investing public has not had time to fully absorb the information. If it is not clear whether material information has been sufficiently publicized, it should be treated as if it is MNPI. Furthermore, it is illegal for any officer, director or other employee in possession of MNPI to provide other people with such information or to recommend that they buy or sell the securities. (This is called “tipping”). In that case, they may both be held liable.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Securities and Exchange Commission (the “SEC”), prosecutors, the stock exchanges and plaintiffs’ lawyers focus on uncovering insider trading. A breach of the insider trading laws could expose the insider or anyone who trades on information provided by an insider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49" w:name="page250"/>
    <w:bookmarkEnd w:id="249"/>
    <w:p>
      <w:pPr>
        <w:jc w:val="both"/>
        <w:spacing w:after="0" w:line="282" w:lineRule="auto"/>
        <w:rPr>
          <w:sz w:val="20"/>
          <w:szCs w:val="20"/>
          <w:color w:val="auto"/>
        </w:rPr>
      </w:pPr>
      <w:r>
        <w:rPr>
          <w:rFonts w:ascii="Times New Roman" w:cs="Times New Roman" w:eastAsia="Times New Roman" w:hAnsi="Times New Roman"/>
          <w:sz w:val="18"/>
          <w:szCs w:val="18"/>
          <w:color w:val="auto"/>
        </w:rPr>
        <w:t>criminal fines up to three times the profits earned and imprisonment up to ten years, in addition to civil penalties (up to three times of the profits earned), and injunctive actions.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MNPI does not belong to the individual directors, officers or other employees who may handle it or otherwise become knowledgeable about it. It is an asset of the Company. Any person who uses such information for personal benefit or discloses it to others outside the Company violates the Company’s interests and may be in breach of his or her fiduciary, loyalty or other duties to the Company. More particularly, in connection with trading in the Company’s securities, it is a fraud against members of the investing public and against the Company. The mere perception that a director, officer or employee traded with the knowledge of MNPI could harm the reputation of both the Company and that director, officer or employee.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Prohibition of Insider Trading under Hong Kong Securities Regulations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Parts XIII and XIV of the Securities and Futures Ordinance (the “SFO”), there are various forms of market misconduct, including insider trading, which are all serious offences that attract significant civil and criminal penalties.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Sections 245 and 307A(1) of the SFO, “inside information” means information about:</w:t>
      </w:r>
    </w:p>
    <w:p>
      <w:pPr>
        <w:spacing w:after="0" w:line="225" w:lineRule="exact"/>
        <w:rPr>
          <w:sz w:val="20"/>
          <w:szCs w:val="20"/>
          <w:color w:val="auto"/>
        </w:rPr>
      </w:pPr>
    </w:p>
    <w:p>
      <w:pPr>
        <w:ind w:left="1300" w:hanging="320"/>
        <w:spacing w:after="0"/>
        <w:tabs>
          <w:tab w:leader="none" w:pos="1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or officer of the Company; or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Securities,</w:t>
      </w:r>
    </w:p>
    <w:p>
      <w:pPr>
        <w:spacing w:after="0" w:line="225"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 xml:space="preserve">which is not generally known to the persons who are accustomed to or would be likely to deal in Company Securities but which would, if it were generally known to those persons, be likely to materially affect the price of Company Securities (hereunder referred as the “Inside Information”). Please refer to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for non-exhaustive examples of possible Inside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Securities” means, for the purpose of this trading policy:</w:t>
      </w:r>
    </w:p>
    <w:p>
      <w:pPr>
        <w:spacing w:after="0" w:line="225" w:lineRule="exact"/>
        <w:rPr>
          <w:sz w:val="20"/>
          <w:szCs w:val="20"/>
          <w:color w:val="auto"/>
        </w:rPr>
      </w:pPr>
    </w:p>
    <w:p>
      <w:pPr>
        <w:ind w:left="1300" w:hanging="320"/>
        <w:spacing w:after="0"/>
        <w:tabs>
          <w:tab w:leader="none" w:pos="13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and equity interests in the Company;</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contracts in respect of shares in the Company, including options, warrants, rights, forwards, futures and swaps;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issued by the Company, including debentures and bonds.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“Dealing” means acting in (i) any sale, purchase or exchange of or subscription for listed securities or their derivatives; or (ii) any acquisition or disposal of the right to sell, purchase, exchange or subscribe for listed securities or their derivatives; or (iii) any agreement to do any of those things described in (i) or (ii), either for yourself or as agent for another person, and includes any acquisition, disposal or transfer of, or offer to acquire, dispose of or transfer, or creation of pledge, charge or any other security interest in, any securities of the listed issuer or any entity whose assets solely or substantially comprise securities of the listed issuer, and the grant, acceptance, acquisition, disposal, transfer, exercise or discharge of any option (whether call, put or both) or other right or obligation, present or future, conditional or unconditional, to acquire, dispose of or transfer securities, or any interest in securities, of the listed issuer or any such entity, in each case whether or not for consideration and any agreements to do any of the foregoing except as otherwise excluded under paragraph 7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50" w:name="page251"/>
    <w:bookmarkEnd w:id="250"/>
    <w:p>
      <w:pPr>
        <w:ind w:right="20"/>
        <w:spacing w:after="0" w:line="282" w:lineRule="auto"/>
        <w:rPr>
          <w:sz w:val="20"/>
          <w:szCs w:val="20"/>
          <w:color w:val="auto"/>
        </w:rPr>
      </w:pPr>
      <w:r>
        <w:rPr>
          <w:rFonts w:ascii="Times New Roman" w:cs="Times New Roman" w:eastAsia="Times New Roman" w:hAnsi="Times New Roman"/>
          <w:sz w:val="18"/>
          <w:szCs w:val="18"/>
          <w:color w:val="auto"/>
        </w:rPr>
        <w:t>Model Code for Securities Transactions by Directors of Listed Issuers as set out in Appendix C3 (the “Model Code”) to the Rules Governing the Listing of the Securities on The Stock Exchange of Hong Kong Limited (the “Hong Kong Listing Rules”).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activities are not considered dealings for the purposes of the Model Code:</w:t>
      </w:r>
    </w:p>
    <w:p>
      <w:pPr>
        <w:spacing w:after="0" w:line="225" w:lineRule="exact"/>
        <w:rPr>
          <w:sz w:val="20"/>
          <w:szCs w:val="20"/>
          <w:color w:val="auto"/>
        </w:rPr>
      </w:pPr>
    </w:p>
    <w:p>
      <w:pPr>
        <w:jc w:val="both"/>
        <w:ind w:left="660" w:firstLine="320"/>
        <w:spacing w:after="0" w:line="266" w:lineRule="auto"/>
        <w:tabs>
          <w:tab w:leader="none" w:pos="13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up of entitlements under a rights issue, bonus issue, capitalisation issue or other offer made by the listed issuer to holders of its securities (including an offer of shares in lieu of a cash dividend) but, for the avoidance of doubt, applying for excess shares in a rights issue or applying for shares in excess of an assured allotment in an open offer is a “dealing”;</w:t>
      </w:r>
    </w:p>
    <w:p>
      <w:pPr>
        <w:spacing w:after="0" w:line="175" w:lineRule="exact"/>
        <w:rPr>
          <w:rFonts w:ascii="Times New Roman" w:cs="Times New Roman" w:eastAsia="Times New Roman" w:hAnsi="Times New Roman"/>
          <w:sz w:val="18"/>
          <w:szCs w:val="18"/>
          <w:color w:val="auto"/>
        </w:rPr>
      </w:pPr>
    </w:p>
    <w:p>
      <w:pPr>
        <w:ind w:left="660" w:firstLine="320"/>
        <w:spacing w:after="0" w:line="282" w:lineRule="auto"/>
        <w:tabs>
          <w:tab w:leader="none" w:pos="137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entitlements to lapse under a rights issue or other offer made by the listed issuer to holders of its securities (including an offer of shares in lieu of a cash dividend);</w:t>
      </w:r>
    </w:p>
    <w:p>
      <w:pPr>
        <w:spacing w:after="0" w:line="161" w:lineRule="exact"/>
        <w:rPr>
          <w:rFonts w:ascii="Times New Roman" w:cs="Times New Roman" w:eastAsia="Times New Roman" w:hAnsi="Times New Roman"/>
          <w:sz w:val="18"/>
          <w:szCs w:val="18"/>
          <w:color w:val="auto"/>
        </w:rPr>
      </w:pPr>
    </w:p>
    <w:p>
      <w:pPr>
        <w:ind w:left="660" w:firstLine="320"/>
        <w:spacing w:after="0" w:line="282" w:lineRule="auto"/>
        <w:tabs>
          <w:tab w:leader="none" w:pos="136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undertakings to accept, or the acceptance of, a general offer for shares in the listed issuer made to shareholders other than those that are concert parties (as defined under the Takeovers Code) of the offeror;</w:t>
      </w:r>
    </w:p>
    <w:p>
      <w:pPr>
        <w:spacing w:after="0" w:line="161" w:lineRule="exact"/>
        <w:rPr>
          <w:rFonts w:ascii="Times New Roman" w:cs="Times New Roman" w:eastAsia="Times New Roman" w:hAnsi="Times New Roman"/>
          <w:sz w:val="18"/>
          <w:szCs w:val="18"/>
          <w:color w:val="auto"/>
        </w:rPr>
      </w:pPr>
    </w:p>
    <w:p>
      <w:pPr>
        <w:jc w:val="both"/>
        <w:ind w:left="660" w:firstLine="320"/>
        <w:spacing w:after="0" w:line="266" w:lineRule="auto"/>
        <w:tabs>
          <w:tab w:leader="none" w:pos="134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share options or warrants or acceptance of an offer for shares pursuant to an agreement entered into with a listed issuer before a period during which dealing is prohibited under this code at the pre-determined exercise price, being a fixed monetary amount determined at the time of grant of the share option or warrant or acceptance of an offer for shares;</w:t>
      </w:r>
    </w:p>
    <w:p>
      <w:pPr>
        <w:spacing w:after="0" w:line="175" w:lineRule="exact"/>
        <w:rPr>
          <w:rFonts w:ascii="Times New Roman" w:cs="Times New Roman" w:eastAsia="Times New Roman" w:hAnsi="Times New Roman"/>
          <w:sz w:val="18"/>
          <w:szCs w:val="18"/>
          <w:color w:val="auto"/>
        </w:rPr>
      </w:pPr>
    </w:p>
    <w:p>
      <w:pPr>
        <w:jc w:val="both"/>
        <w:ind w:left="660" w:firstLine="320"/>
        <w:spacing w:after="0" w:line="266" w:lineRule="auto"/>
        <w:tabs>
          <w:tab w:leader="none" w:pos="1417"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of qualification shares where, under the listed issuer’s constitutional documents, the final date for acquiring such shares falls within a period when dealing is prohibited under this code and such shares cannot be acquired at another time;</w:t>
      </w:r>
    </w:p>
    <w:p>
      <w:pPr>
        <w:spacing w:after="0" w:line="175"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dealing where the beneficial interest or interests in the relevant security of the listed issuer do not change;</w:t>
      </w:r>
    </w:p>
    <w:p>
      <w:pPr>
        <w:spacing w:after="0" w:line="225" w:lineRule="exact"/>
        <w:rPr>
          <w:rFonts w:ascii="Times New Roman" w:cs="Times New Roman" w:eastAsia="Times New Roman" w:hAnsi="Times New Roman"/>
          <w:sz w:val="18"/>
          <w:szCs w:val="18"/>
          <w:color w:val="auto"/>
        </w:rPr>
      </w:pPr>
    </w:p>
    <w:p>
      <w:pPr>
        <w:jc w:val="both"/>
        <w:ind w:left="660" w:firstLine="320"/>
        <w:spacing w:after="0" w:line="266" w:lineRule="auto"/>
        <w:tabs>
          <w:tab w:leader="none" w:pos="142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dealing where a shareholder places out his existing shares in a “top-up” placing where the number of new shares subscribed by him pursuant to an irrevocable, binding obligation equals the number of existing shares placed out and the subscription price (after expenses) is the same as the price at which the existing shares were placed out;</w:t>
      </w:r>
    </w:p>
    <w:p>
      <w:pPr>
        <w:spacing w:after="0" w:line="175"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dealing where the beneficial ownership is transferred from another party by operation of law; and</w:t>
      </w:r>
    </w:p>
    <w:p>
      <w:pPr>
        <w:spacing w:after="0" w:line="225" w:lineRule="exact"/>
        <w:rPr>
          <w:rFonts w:ascii="Times New Roman" w:cs="Times New Roman" w:eastAsia="Times New Roman" w:hAnsi="Times New Roman"/>
          <w:sz w:val="18"/>
          <w:szCs w:val="18"/>
          <w:color w:val="auto"/>
        </w:rPr>
      </w:pPr>
    </w:p>
    <w:p>
      <w:pPr>
        <w:ind w:left="660" w:right="20" w:firstLine="320"/>
        <w:spacing w:after="0" w:line="282" w:lineRule="auto"/>
        <w:tabs>
          <w:tab w:leader="none" w:pos="138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or vesting of shares pursuant to the terms of share awards granted by a listed issuer before a period during which dealing is prohibited under this code at the purchase price, if any, fixed at the time of grant of the awards.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in possession of Inside Information, you must not, directly or indirectly:</w:t>
      </w:r>
    </w:p>
    <w:p>
      <w:pPr>
        <w:spacing w:after="0" w:line="225" w:lineRule="exact"/>
        <w:rPr>
          <w:sz w:val="20"/>
          <w:szCs w:val="20"/>
          <w:color w:val="auto"/>
        </w:rPr>
      </w:pPr>
    </w:p>
    <w:p>
      <w:pPr>
        <w:ind w:left="1300" w:hanging="320"/>
        <w:spacing w:after="0"/>
        <w:tabs>
          <w:tab w:leader="none" w:pos="13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in Company Securities;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 any Inside Information to any other person (except in the proper performance of your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51" w:name="page252"/>
    <w:bookmarkEnd w:id="251"/>
    <w:p>
      <w:pPr>
        <w:ind w:left="1300" w:hanging="320"/>
        <w:spacing w:after="0"/>
        <w:tabs>
          <w:tab w:leader="none" w:pos="13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anyone to deal in Company Securities; or</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Inside Information in any manner (except in the proper performance of your duties), whether or not to achieve any advantage.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other dealing activities in the Company Securities may constitute insider dealing under the SFO. You should consult with the Company’s General Counsel when in doubt.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include:</w:t>
      </w:r>
    </w:p>
    <w:p>
      <w:pPr>
        <w:spacing w:after="0" w:line="225" w:lineRule="exact"/>
        <w:rPr>
          <w:sz w:val="20"/>
          <w:szCs w:val="20"/>
          <w:color w:val="auto"/>
        </w:rPr>
      </w:pPr>
    </w:p>
    <w:p>
      <w:pPr>
        <w:ind w:left="1300" w:hanging="320"/>
        <w:spacing w:after="0" w:line="282" w:lineRule="auto"/>
        <w:tabs>
          <w:tab w:leader="none" w:pos="13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selling: if you sell, directly or indirectly, any Company Securities if (i) you do not own the Company Securities sold, or (ii) you own the Company Securities, but you do not deliver them against the sale;</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and derivatives: if you engage in any hedging transactions with respect to any Company Securities. Hedging transactions include trading in any derivatives relating to Company Securities;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pledging and margin accounts: if you use Company Securities to support a margin debit or pledge Company Securities.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avoidance of doubt, this Trading Policy does not apply to the exercise of a tax withholding right pursuant to which you elect to have the Company withhold ordinary shares or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subject to an option or other award to satisfy tax withholding requirements.</w:t>
      </w:r>
    </w:p>
    <w:p>
      <w:pPr>
        <w:spacing w:after="0" w:line="172" w:lineRule="exact"/>
        <w:rPr>
          <w:sz w:val="20"/>
          <w:szCs w:val="20"/>
          <w:color w:val="auto"/>
        </w:rPr>
      </w:pPr>
    </w:p>
    <w:p>
      <w:pPr>
        <w:ind w:left="1300" w:hanging="1292"/>
        <w:spacing w:after="0"/>
        <w:tabs>
          <w:tab w:leader="none" w:pos="130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Who Does This Trading Policy Apply To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prohibition against trading on inside information applies to (collectively, “Insiders”):</w:t>
      </w:r>
    </w:p>
    <w:p>
      <w:pPr>
        <w:spacing w:after="0" w:line="225" w:lineRule="exact"/>
        <w:rPr>
          <w:sz w:val="20"/>
          <w:szCs w:val="20"/>
          <w:color w:val="auto"/>
        </w:rPr>
      </w:pPr>
    </w:p>
    <w:p>
      <w:pPr>
        <w:jc w:val="both"/>
        <w:ind w:left="660" w:firstLine="320"/>
        <w:spacing w:after="0" w:line="266" w:lineRule="auto"/>
        <w:tabs>
          <w:tab w:leader="none" w:pos="1373"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officers and all other domestic and international employees of the Company and its subsidiaries, and other people who, because of their office or employment in the Group, are likely to gain access to Company’s MNPI or Inside Information, including contractors and consultants,</w:t>
      </w:r>
    </w:p>
    <w:p>
      <w:pPr>
        <w:spacing w:after="0" w:line="175" w:lineRule="exact"/>
        <w:rPr>
          <w:rFonts w:ascii="Times New Roman" w:cs="Times New Roman" w:eastAsia="Times New Roman" w:hAnsi="Times New Roman"/>
          <w:sz w:val="18"/>
          <w:szCs w:val="18"/>
          <w:color w:val="auto"/>
        </w:rPr>
      </w:pPr>
    </w:p>
    <w:p>
      <w:pPr>
        <w:ind w:left="660" w:firstLine="320"/>
        <w:spacing w:after="0" w:line="282" w:lineRule="auto"/>
        <w:tabs>
          <w:tab w:leader="none" w:pos="1373"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spouses, domestic partners and persons living with as if he or she were a spouse of such directors, officers or employees,</w:t>
      </w:r>
    </w:p>
    <w:p>
      <w:pPr>
        <w:spacing w:after="0" w:line="161" w:lineRule="exact"/>
        <w:rPr>
          <w:rFonts w:ascii="Times New Roman" w:cs="Times New Roman" w:eastAsia="Times New Roman" w:hAnsi="Times New Roman"/>
          <w:sz w:val="18"/>
          <w:szCs w:val="18"/>
          <w:color w:val="auto"/>
        </w:rPr>
      </w:pPr>
    </w:p>
    <w:p>
      <w:pPr>
        <w:ind w:left="660" w:right="20" w:firstLine="320"/>
        <w:spacing w:after="0" w:line="282" w:lineRule="auto"/>
        <w:tabs>
          <w:tab w:leader="none" w:pos="1373"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minor children (natural or adopted) of directors, officers or employees or of the spouses of directors, officers or employees (together with the persons listed in 2. above, “Family Members”),</w:t>
      </w:r>
    </w:p>
    <w:p>
      <w:pPr>
        <w:spacing w:after="0" w:line="161"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anyone to whom Company directors, officers or employees provide significant financial support,</w:t>
      </w:r>
    </w:p>
    <w:p>
      <w:pPr>
        <w:spacing w:after="0" w:line="225" w:lineRule="exact"/>
        <w:rPr>
          <w:rFonts w:ascii="Times New Roman" w:cs="Times New Roman" w:eastAsia="Times New Roman" w:hAnsi="Times New Roman"/>
          <w:sz w:val="18"/>
          <w:szCs w:val="18"/>
          <w:color w:val="auto"/>
        </w:rPr>
      </w:pPr>
    </w:p>
    <w:p>
      <w:pPr>
        <w:jc w:val="both"/>
        <w:ind w:left="660" w:firstLine="320"/>
        <w:spacing w:after="0" w:line="266" w:lineRule="auto"/>
        <w:tabs>
          <w:tab w:leader="none" w:pos="1373"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with whom Company directors, officers or employees have an agreement or arrangement (i) with respect to dealing in Company Securities; or (ii) under which such director undertakes to act together in exercising voting power at general meetings of the Company,</w:t>
      </w:r>
    </w:p>
    <w:p>
      <w:pPr>
        <w:spacing w:after="0" w:line="175" w:lineRule="exact"/>
        <w:rPr>
          <w:rFonts w:ascii="Times New Roman" w:cs="Times New Roman" w:eastAsia="Times New Roman" w:hAnsi="Times New Roman"/>
          <w:sz w:val="18"/>
          <w:szCs w:val="18"/>
          <w:color w:val="auto"/>
        </w:rPr>
      </w:pPr>
    </w:p>
    <w:p>
      <w:pPr>
        <w:jc w:val="both"/>
        <w:ind w:left="660" w:firstLine="320"/>
        <w:spacing w:after="0" w:line="266" w:lineRule="auto"/>
        <w:tabs>
          <w:tab w:leader="none" w:pos="1373"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or account over which directors, officers or employees, Family Members, or the persons listed in 4. above, have or share the power, directly or indirectly, to make investment decisions (whether or not such persons have a financial interest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52" w:name="page253"/>
    <w:bookmarkEnd w:id="252"/>
    <w:p>
      <w:pPr>
        <w:ind w:left="660"/>
        <w:spacing w:after="0" w:line="282" w:lineRule="auto"/>
        <w:rPr>
          <w:sz w:val="20"/>
          <w:szCs w:val="20"/>
          <w:color w:val="auto"/>
        </w:rPr>
      </w:pPr>
      <w:r>
        <w:rPr>
          <w:rFonts w:ascii="Times New Roman" w:cs="Times New Roman" w:eastAsia="Times New Roman" w:hAnsi="Times New Roman"/>
          <w:sz w:val="18"/>
          <w:szCs w:val="18"/>
          <w:color w:val="auto"/>
        </w:rPr>
        <w:t>the entity or account) and those entities or accounts established or maintained by such persons with their consent or knowledge and in which such persons have a direct or indirect financial interest,</w:t>
      </w:r>
    </w:p>
    <w:p>
      <w:pPr>
        <w:spacing w:after="0" w:line="162" w:lineRule="exact"/>
        <w:rPr>
          <w:sz w:val="20"/>
          <w:szCs w:val="20"/>
          <w:color w:val="auto"/>
        </w:rPr>
      </w:pPr>
    </w:p>
    <w:p>
      <w:pPr>
        <w:jc w:val="both"/>
        <w:ind w:left="660" w:firstLine="320"/>
        <w:spacing w:after="0" w:line="256" w:lineRule="auto"/>
        <w:tabs>
          <w:tab w:leader="none" w:pos="1373"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of which Company directors, officers or employees, Family Members or the persons listed in 5. above control one-third or more of the voting power at general meetings of the corporation or of which directors, officers or employees control the majority of the board of directors, any corporation which is accustomed to acting or whose directors are accustomed to acting in accordance with the directions or instructions of Company directors, officers or employees, Family Members or the persons listed in 5. above, and any of its subsidiaries (together with Family Members and persons listed in 5. above, collectively, “Related Persons”);</w:t>
      </w:r>
    </w:p>
    <w:p>
      <w:pPr>
        <w:spacing w:after="0" w:line="187"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of which either:</w:t>
      </w:r>
    </w:p>
    <w:p>
      <w:pPr>
        <w:spacing w:after="0" w:line="225" w:lineRule="exact"/>
        <w:rPr>
          <w:rFonts w:ascii="Times New Roman" w:cs="Times New Roman" w:eastAsia="Times New Roman" w:hAnsi="Times New Roman"/>
          <w:sz w:val="18"/>
          <w:szCs w:val="18"/>
          <w:color w:val="auto"/>
        </w:rPr>
      </w:pPr>
    </w:p>
    <w:p>
      <w:pPr>
        <w:ind w:left="2020" w:hanging="392"/>
        <w:spacing w:after="0"/>
        <w:tabs>
          <w:tab w:leader="none" w:pos="202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above persons is/are a beneficiary;</w:t>
      </w:r>
    </w:p>
    <w:p>
      <w:pPr>
        <w:spacing w:after="0" w:line="225" w:lineRule="exact"/>
        <w:rPr>
          <w:rFonts w:ascii="Times New Roman" w:cs="Times New Roman" w:eastAsia="Times New Roman" w:hAnsi="Times New Roman"/>
          <w:sz w:val="18"/>
          <w:szCs w:val="18"/>
          <w:color w:val="auto"/>
        </w:rPr>
      </w:pPr>
    </w:p>
    <w:p>
      <w:pPr>
        <w:ind w:left="1300" w:firstLine="328"/>
        <w:spacing w:after="0" w:line="282" w:lineRule="auto"/>
        <w:tabs>
          <w:tab w:leader="none" w:pos="2013"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directors, officers or employees is a founder of the trust with the ability to exert any influence over the trustee; or</w:t>
      </w:r>
    </w:p>
    <w:p>
      <w:pPr>
        <w:spacing w:after="0" w:line="161" w:lineRule="exact"/>
        <w:rPr>
          <w:rFonts w:ascii="Times New Roman" w:cs="Times New Roman" w:eastAsia="Times New Roman" w:hAnsi="Times New Roman"/>
          <w:sz w:val="18"/>
          <w:szCs w:val="18"/>
          <w:color w:val="auto"/>
        </w:rPr>
      </w:pPr>
    </w:p>
    <w:p>
      <w:pPr>
        <w:ind w:left="2020" w:hanging="392"/>
        <w:spacing w:after="0"/>
        <w:tabs>
          <w:tab w:leader="none" w:pos="202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directors, officers or employees are a trustee, except where they are either:</w:t>
      </w:r>
    </w:p>
    <w:p>
      <w:pPr>
        <w:spacing w:after="0" w:line="225" w:lineRule="exact"/>
        <w:rPr>
          <w:rFonts w:ascii="Times New Roman" w:cs="Times New Roman" w:eastAsia="Times New Roman" w:hAnsi="Times New Roman"/>
          <w:sz w:val="18"/>
          <w:szCs w:val="18"/>
          <w:color w:val="auto"/>
        </w:rPr>
      </w:pPr>
    </w:p>
    <w:p>
      <w:pPr>
        <w:ind w:left="2340" w:hanging="334"/>
        <w:spacing w:after="0" w:line="282" w:lineRule="auto"/>
        <w:tabs>
          <w:tab w:leader="none" w:pos="2340" w:val="left"/>
        </w:tabs>
        <w:numPr>
          <w:ilvl w:val="2"/>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bare trustee (i.e. with no powers or duties except transfer the shares according to the directions of the beneficial owners); or</w:t>
      </w:r>
    </w:p>
    <w:p>
      <w:pPr>
        <w:spacing w:after="0" w:line="161" w:lineRule="exact"/>
        <w:rPr>
          <w:rFonts w:ascii="Times New Roman" w:cs="Times New Roman" w:eastAsia="Times New Roman" w:hAnsi="Times New Roman"/>
          <w:sz w:val="18"/>
          <w:szCs w:val="18"/>
          <w:color w:val="auto"/>
        </w:rPr>
      </w:pPr>
    </w:p>
    <w:p>
      <w:pPr>
        <w:ind w:left="2340" w:hanging="334"/>
        <w:spacing w:after="0"/>
        <w:tabs>
          <w:tab w:leader="none" w:pos="2340" w:val="left"/>
        </w:tabs>
        <w:numPr>
          <w:ilvl w:val="2"/>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co-trustee and have not participated in or influenced the decision to deal in the securities,</w:t>
      </w:r>
    </w:p>
    <w:p>
      <w:pPr>
        <w:spacing w:after="0" w:line="22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and neither said trustee nor their Related Persons are beneficiaries; and</w:t>
      </w:r>
    </w:p>
    <w:p>
      <w:pPr>
        <w:spacing w:after="0" w:line="225" w:lineRule="exact"/>
        <w:rPr>
          <w:sz w:val="20"/>
          <w:szCs w:val="20"/>
          <w:color w:val="auto"/>
        </w:rPr>
      </w:pPr>
    </w:p>
    <w:p>
      <w:pPr>
        <w:ind w:left="1360" w:hanging="380"/>
        <w:spacing w:after="0"/>
        <w:tabs>
          <w:tab w:leader="none" w:pos="13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subject to the restrictions under the Model Code or the SFO.</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Because of their access to confidential information on a regular basis, Company policy subjects its directors, officers and certain employees (the “Window Group”) to additional restrictions on trading in Company securities. The restrictions for the Window Group are discussed in Section G below. In addition, directors, officers and certain employees with MNPI/Inside Information may be subject to ad hoc restrictions on trading from time to time. In addition, the Company itself must comply with U.S. securities laws applicable to its own securities trading activities, and will not effect transactions in respect of its securities, or adopt any securities repurchase plans, when it is in possession of MNPI concerning the Company, other than in compliance with applicable law, subject to the policies and procedures adopted by the Company and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if applicable, and the prior approval of the General Counsel.</w:t>
      </w:r>
    </w:p>
    <w:p>
      <w:pPr>
        <w:spacing w:after="0" w:line="185" w:lineRule="exact"/>
        <w:rPr>
          <w:sz w:val="20"/>
          <w:szCs w:val="20"/>
          <w:color w:val="auto"/>
        </w:rPr>
      </w:pPr>
    </w:p>
    <w:p>
      <w:pPr>
        <w:ind w:left="1300" w:hanging="1292"/>
        <w:spacing w:after="0"/>
        <w:tabs>
          <w:tab w:leader="none" w:pos="130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Other Companies’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Directors, officers and certain employees who learn MNPI or Inside Information about suppliers, customers, or competitors through their work at the Company, should keep it confidential and not buy or sell stock (or recommend anyone else to deal) in such companies until the information becomes public as such dealing may constitute inside trading under the SFO. Directors, officers and certain employees should not give tips about such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53" w:name="page254"/>
    <w:bookmarkEnd w:id="253"/>
    <w:p>
      <w:pPr>
        <w:ind w:left="1300" w:hanging="1292"/>
        <w:spacing w:after="0"/>
        <w:tabs>
          <w:tab w:leader="none" w:pos="130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Hedging and Derivatives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Insiders are prohibited from engaging in any derivative transactions (including transactions involving options, puts, calls, prepaid variable forward contracts, equity swaps, collars and exchange funds or other derivatives) that are designed to hedge or speculate on any change in the market value of the Company’s equity securities. As discussed below, Insiders are also prohibited from shorting the Company’s securities.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Trading in options or other derivatives is generally highly speculative and very risky. People who buy options are betting that the stock price will move rapidly. For that reason, when a person trades in options in his or her employer’s stock, it may arouse suspicion in the eyes of the SEC that the person was trading on the basis of MNPI, particularly where the trading occurs before a company announcement or major event. It is difficult for a director, officer or employee to prove that he or she did not know about the announcement or event.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SEC or the stock exchanges were to notice active options trading by one or more directors, officers or employees of the Company prior to an announcement, this could trigger an investigation with potential legal action. Such an investigation could be embarrassing to the Company (as well as expensive) and could result in severe penalties and expense for the persons involved. For all of these reasons, the Company prohibits Insiders from trading in options or other securities involving the Company’s stock. This Trading Policy does not pertain to employee stock options granted by the Company. Employee stock options cannot be traded.</w:t>
      </w:r>
    </w:p>
    <w:p>
      <w:pPr>
        <w:spacing w:after="0" w:line="179" w:lineRule="exact"/>
        <w:rPr>
          <w:sz w:val="20"/>
          <w:szCs w:val="20"/>
          <w:color w:val="auto"/>
        </w:rPr>
      </w:pPr>
    </w:p>
    <w:p>
      <w:pPr>
        <w:ind w:left="1300" w:hanging="1292"/>
        <w:spacing w:after="0"/>
        <w:tabs>
          <w:tab w:leader="none" w:pos="130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Pledging of Securities, Margin Accounts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Pledged securities may be sold by the pledgee without the pledgor’s consent under certain conditions. For example, securities held in a margin account may be sold by a broker without the customer’s consent if the customer fails to meet a margin call. Because such a sale may occur at a time when an Insider has MNPI or is otherwise not permitted to trade in Company Securities, the Company prohibits Insiders from pledging Company Securities in any circumstance, including by purchasing Company Securities on margin or holding Company Securities in a margin account.</w:t>
      </w:r>
    </w:p>
    <w:p>
      <w:pPr>
        <w:spacing w:after="0" w:line="193" w:lineRule="exact"/>
        <w:rPr>
          <w:sz w:val="20"/>
          <w:szCs w:val="20"/>
          <w:color w:val="auto"/>
        </w:rPr>
      </w:pPr>
    </w:p>
    <w:p>
      <w:pPr>
        <w:ind w:left="1300" w:hanging="1292"/>
        <w:spacing w:after="0"/>
        <w:tabs>
          <w:tab w:leader="none" w:pos="130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General Guidelines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guidelines should be followed in order to ensure compliance with applicable antifraud laws and with the Company’s policies:</w:t>
      </w:r>
    </w:p>
    <w:p>
      <w:pPr>
        <w:spacing w:after="0" w:line="160" w:lineRule="exact"/>
        <w:rPr>
          <w:sz w:val="20"/>
          <w:szCs w:val="20"/>
          <w:color w:val="auto"/>
        </w:rPr>
      </w:pPr>
    </w:p>
    <w:p>
      <w:pPr>
        <w:jc w:val="both"/>
        <w:ind w:left="660" w:firstLine="320"/>
        <w:spacing w:after="0" w:line="267" w:lineRule="auto"/>
        <w:tabs>
          <w:tab w:leader="none" w:pos="1373"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Nondisclosure</w:t>
      </w:r>
      <w:r>
        <w:rPr>
          <w:rFonts w:ascii="Times New Roman" w:cs="Times New Roman" w:eastAsia="Times New Roman" w:hAnsi="Times New Roman"/>
          <w:sz w:val="18"/>
          <w:szCs w:val="18"/>
          <w:color w:val="auto"/>
        </w:rPr>
        <w:t>. MNPI/Inside Information must not be disclosed to anyone, except to persons within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whose positions require them to know it. No director, officer or employee should discuss MNPI/Inside Information in public places or in common areas on Company property.</w:t>
      </w:r>
    </w:p>
    <w:p>
      <w:pPr>
        <w:spacing w:after="0" w:line="173" w:lineRule="exact"/>
        <w:rPr>
          <w:rFonts w:ascii="Times New Roman" w:cs="Times New Roman" w:eastAsia="Times New Roman" w:hAnsi="Times New Roman"/>
          <w:sz w:val="18"/>
          <w:szCs w:val="18"/>
          <w:color w:val="auto"/>
        </w:rPr>
      </w:pPr>
    </w:p>
    <w:p>
      <w:pPr>
        <w:jc w:val="both"/>
        <w:ind w:left="660" w:firstLine="320"/>
        <w:spacing w:after="0" w:line="255" w:lineRule="auto"/>
        <w:tabs>
          <w:tab w:leader="none" w:pos="1373"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Trading in Company Securities</w:t>
      </w:r>
      <w:r>
        <w:rPr>
          <w:rFonts w:ascii="Times New Roman" w:cs="Times New Roman" w:eastAsia="Times New Roman" w:hAnsi="Times New Roman"/>
          <w:sz w:val="18"/>
          <w:szCs w:val="18"/>
          <w:color w:val="auto"/>
        </w:rPr>
        <w:t>. No Insider may place a purchase or sale order or recommend that another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 a purchase or sale order in the Company’s securities when he or she has knowledge of MNPI/Inside Information concerning the Company that has not been disclosed to the public. This includes orders for purchases and sales of stock, convertible securities and other securities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bonds) and includes increasing or decreasing investment in Company Securities through a retirement account. The exercise of employee stock options or vesting of employee share award pursuant to an agreement entered into with the Company before a period during which dealing is prohibited under this policy at the pre-determined exercise price, being a fixed monetary amount determined at the time of grant of the share option or warrant or acceptance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54" w:name="page255"/>
    <w:bookmarkEnd w:id="254"/>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an offer for shares, is not subject to this policy. However, stock that was acquired upon exercise of a stock option or vesting of a share award will be treated like any other stock and may not be sold by any Insider who is in possession of MNPI/Inside Information. Any Insider who possesses MNPI/Inside Information should wait until the start of the second business day after the information has been publicly released before trading. There is no exception to this Trading Policy, even for hardship to the Insider or based on the use of proceeds (such as making a mortgage payment or for an emergency expenditure).</w:t>
      </w:r>
    </w:p>
    <w:p>
      <w:pPr>
        <w:spacing w:after="0" w:line="183" w:lineRule="exact"/>
        <w:rPr>
          <w:sz w:val="20"/>
          <w:szCs w:val="20"/>
          <w:color w:val="auto"/>
        </w:rPr>
      </w:pPr>
    </w:p>
    <w:p>
      <w:pPr>
        <w:jc w:val="both"/>
        <w:ind w:left="660" w:firstLine="324"/>
        <w:spacing w:after="0" w:line="282" w:lineRule="auto"/>
        <w:rPr>
          <w:sz w:val="20"/>
          <w:szCs w:val="20"/>
          <w:color w:val="auto"/>
        </w:rPr>
      </w:pPr>
      <w:r>
        <w:rPr>
          <w:rFonts w:ascii="Times New Roman" w:cs="Times New Roman" w:eastAsia="Times New Roman" w:hAnsi="Times New Roman"/>
          <w:sz w:val="18"/>
          <w:szCs w:val="18"/>
          <w:color w:val="auto"/>
        </w:rPr>
        <w:t>All Insiders must not, directly or indirectly, deal in Company Securities at any time without first obtaining the acknowledgement of your notification in accordance with the procedure set out in section II.H.</w:t>
      </w:r>
    </w:p>
    <w:p>
      <w:pPr>
        <w:spacing w:after="0" w:line="160" w:lineRule="exact"/>
        <w:rPr>
          <w:sz w:val="20"/>
          <w:szCs w:val="20"/>
          <w:color w:val="auto"/>
        </w:rPr>
      </w:pPr>
    </w:p>
    <w:p>
      <w:pPr>
        <w:jc w:val="both"/>
        <w:ind w:left="660" w:firstLine="320"/>
        <w:spacing w:after="0" w:line="257" w:lineRule="auto"/>
        <w:tabs>
          <w:tab w:leader="none" w:pos="1373"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Avoid Speculation</w:t>
      </w:r>
      <w:r>
        <w:rPr>
          <w:rFonts w:ascii="Times New Roman" w:cs="Times New Roman" w:eastAsia="Times New Roman" w:hAnsi="Times New Roman"/>
          <w:sz w:val="18"/>
          <w:szCs w:val="18"/>
          <w:color w:val="auto"/>
        </w:rPr>
        <w:t>. Investing in the Company’s common stock or other securities provides an opportunity to share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future growth of the Company. But investment in the Company and sharing in the growth of the Company does not mean short range speculation based on fluctuations in the market. Such activities put the personal gain of the Insider in conflict with the best interests of the Company and its stockholders. Although this Trading Policy does not mean that Insiders may never sell shares, the Company encourages Insiders to avoid frequent trading in Company stock. Speculating in Company stock is not part of the Company culture.</w:t>
      </w:r>
    </w:p>
    <w:p>
      <w:pPr>
        <w:spacing w:after="0" w:line="182" w:lineRule="exact"/>
        <w:rPr>
          <w:rFonts w:ascii="Times New Roman" w:cs="Times New Roman" w:eastAsia="Times New Roman" w:hAnsi="Times New Roman"/>
          <w:sz w:val="18"/>
          <w:szCs w:val="18"/>
          <w:color w:val="auto"/>
        </w:rPr>
      </w:pPr>
    </w:p>
    <w:p>
      <w:pPr>
        <w:jc w:val="both"/>
        <w:ind w:left="660" w:firstLine="320"/>
        <w:spacing w:after="0" w:line="256" w:lineRule="auto"/>
        <w:tabs>
          <w:tab w:leader="none" w:pos="1373"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Trading in Other Securities</w:t>
      </w:r>
      <w:r>
        <w:rPr>
          <w:rFonts w:ascii="Times New Roman" w:cs="Times New Roman" w:eastAsia="Times New Roman" w:hAnsi="Times New Roman"/>
          <w:sz w:val="18"/>
          <w:szCs w:val="18"/>
          <w:color w:val="auto"/>
        </w:rPr>
        <w:t>. No director, officer or employee should place a purchase or sale order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through a retirement account) or recommend that another person place a purchase or sale order, in the securities of another corporation, if the director, officer or employee learns in the course of his or her employment confidential information about the other corporation that is likely to affect the value of those securities. For example, it would be a violation of the securities laws if a director, officer or employee learned through Company sources that the Company intended to purchase assets from a company, and then placed an order to buy or sell stock in that other company because of the likely increase or decrease in the value of its securities.</w:t>
      </w:r>
    </w:p>
    <w:p>
      <w:pPr>
        <w:spacing w:after="0" w:line="180"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Additional Restrictions on the Window Group</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Window Group consists of (i) directors and executive officers of the Company and their assistants and Family Members, (ii) subset of employees in the financial reporting or business development group and (iii) such other persons as may be designated from time to time and informed of such status by the Company’s General Counsel.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Window Group is subject to the following restrictions on trading in Company securities in addition to those set forth above:</w:t>
      </w:r>
    </w:p>
    <w:p>
      <w:pPr>
        <w:spacing w:after="0" w:line="250" w:lineRule="exact"/>
        <w:rPr>
          <w:sz w:val="20"/>
          <w:szCs w:val="20"/>
          <w:color w:val="auto"/>
        </w:rPr>
      </w:pPr>
    </w:p>
    <w:p>
      <w:pPr>
        <w:jc w:val="both"/>
        <w:ind w:left="660" w:firstLine="320"/>
        <w:spacing w:after="0" w:line="267" w:lineRule="auto"/>
        <w:tabs>
          <w:tab w:leader="none" w:pos="137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Trading Window</w:t>
      </w:r>
      <w:r>
        <w:rPr>
          <w:rFonts w:ascii="Times New Roman" w:cs="Times New Roman" w:eastAsia="Times New Roman" w:hAnsi="Times New Roman"/>
          <w:sz w:val="18"/>
          <w:szCs w:val="18"/>
          <w:color w:val="auto"/>
        </w:rPr>
        <w:t>. Trading is permitted from the start of the second business day following an earnings release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the preceding fiscal period until the last calendar day of the last month of the then current fiscal quarter (the “Window”), subject to the restrictions below:</w:t>
      </w:r>
    </w:p>
    <w:p>
      <w:pPr>
        <w:spacing w:after="0" w:line="17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trades are subject to prior review by the General Counsel;</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for all trades must be obtained from the Company’s General Counsel;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55" w:name="page256"/>
    <w:bookmarkEnd w:id="255"/>
    <w:p>
      <w:pPr>
        <w:jc w:val="both"/>
        <w:ind w:left="1620" w:hanging="316"/>
        <w:spacing w:after="0" w:line="266" w:lineRule="auto"/>
        <w:tabs>
          <w:tab w:leader="none" w:pos="162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trading is permitted outside the Window except for reasons of exceptional personal hardship and subject to prior approval by the Chief Executive Officer and General Counsel; provided that, if one of these individuals wishes to trade outside the Window, it shall be subject to prior approval by the other; and</w:t>
      </w:r>
    </w:p>
    <w:p>
      <w:pPr>
        <w:spacing w:after="0" w:line="173" w:lineRule="exact"/>
        <w:rPr>
          <w:rFonts w:ascii="Times New Roman" w:cs="Times New Roman" w:eastAsia="Times New Roman" w:hAnsi="Times New Roman"/>
          <w:sz w:val="18"/>
          <w:szCs w:val="18"/>
          <w:color w:val="auto"/>
        </w:rPr>
      </w:pPr>
    </w:p>
    <w:p>
      <w:pPr>
        <w:jc w:val="both"/>
        <w:ind w:left="660" w:firstLine="320"/>
        <w:spacing w:after="0" w:line="261" w:lineRule="auto"/>
        <w:tabs>
          <w:tab w:leader="none" w:pos="137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Closing of Trading Window</w:t>
      </w:r>
      <w:r>
        <w:rPr>
          <w:rFonts w:ascii="Times New Roman" w:cs="Times New Roman" w:eastAsia="Times New Roman" w:hAnsi="Times New Roman"/>
          <w:sz w:val="18"/>
          <w:szCs w:val="18"/>
          <w:color w:val="auto"/>
        </w:rPr>
        <w:t>. Note that at times the General Counsel may determine that no trades may occur even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Window when clearance is requested. This may occur as a result of a pending business transaction, a cyber-breach, or any material development that has not yet been publicly disclosed. No reasons may be provided, and the closing of the Window may itself constitute MNPI/Inside Information that should not be communicated.</w:t>
      </w:r>
    </w:p>
    <w:p>
      <w:pPr>
        <w:spacing w:after="0" w:line="179"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Blackout Periods</w:t>
      </w:r>
      <w:r>
        <w:rPr>
          <w:rFonts w:ascii="Times New Roman" w:cs="Times New Roman" w:eastAsia="Times New Roman" w:hAnsi="Times New Roman"/>
          <w:sz w:val="18"/>
          <w:szCs w:val="18"/>
          <w:color w:val="auto"/>
        </w:rPr>
        <w:t>. “Blackout Period” means any day on which the Company’s financial results are published and:</w:t>
      </w:r>
    </w:p>
    <w:p>
      <w:pPr>
        <w:spacing w:after="0" w:line="227"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60 days immediately preceding the publication date of the annual results or, if shorter, the period from the end of the relevant financial year up to the publication date of the results; and</w:t>
      </w:r>
    </w:p>
    <w:p>
      <w:pPr>
        <w:spacing w:after="0" w:line="161"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30 days immediately preceding the publication date of the quarterly results (if any) and half-year results or, if shorter, the period from the end of the relevant quarterly or half-year period up to the publication date of the results.</w:t>
      </w:r>
    </w:p>
    <w:p>
      <w:pPr>
        <w:spacing w:after="0" w:line="176" w:lineRule="exact"/>
        <w:rPr>
          <w:sz w:val="20"/>
          <w:szCs w:val="20"/>
          <w:color w:val="auto"/>
        </w:rPr>
      </w:pPr>
    </w:p>
    <w:p>
      <w:pPr>
        <w:jc w:val="both"/>
        <w:ind w:left="660" w:firstLine="324"/>
        <w:spacing w:after="0" w:line="266" w:lineRule="auto"/>
        <w:rPr>
          <w:sz w:val="20"/>
          <w:szCs w:val="20"/>
          <w:color w:val="auto"/>
        </w:rPr>
      </w:pPr>
      <w:r>
        <w:rPr>
          <w:rFonts w:ascii="Times New Roman" w:cs="Times New Roman" w:eastAsia="Times New Roman" w:hAnsi="Times New Roman"/>
          <w:sz w:val="18"/>
          <w:szCs w:val="18"/>
          <w:color w:val="auto"/>
        </w:rPr>
        <w:t>If you are within the Window Group, you and your Related Persons must not, directly or indirectly, deal in Company Securities during Blackout Periods. In exceptional circumstances you may submit a written notification for dealing during a Blackout Period under section II.H.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foregoing Window Group restrictions do not apply to transactions pursuant to written plans for trading securities that comply with Rule 10b5-1 under the Exchange Act (“10b5-1 Plans”) as described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However, Window Group members may not enter into, amend or terminate a 10b5-1 Plan relating to Company securities without the prior approval of the General Counsel, which will only be given during a Window period and only if the Window Group member does not have knowledge of MNPI/Inside Information.</w:t>
      </w:r>
    </w:p>
    <w:p>
      <w:pPr>
        <w:spacing w:after="0" w:line="179" w:lineRule="exact"/>
        <w:rPr>
          <w:sz w:val="20"/>
          <w:szCs w:val="20"/>
          <w:color w:val="auto"/>
        </w:rPr>
      </w:pPr>
    </w:p>
    <w:p>
      <w:pPr>
        <w:ind w:left="1300" w:hanging="1292"/>
        <w:spacing w:after="0"/>
        <w:tabs>
          <w:tab w:leader="none" w:pos="130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Notification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obtaining any acknowledgement of your notification for any proposed dealing in Company Securities, whether by you or by your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Persons, you should ensure that the proposed dealing:</w:t>
      </w:r>
    </w:p>
    <w:p>
      <w:pPr>
        <w:spacing w:after="0" w:line="207" w:lineRule="exact"/>
        <w:rPr>
          <w:sz w:val="20"/>
          <w:szCs w:val="20"/>
          <w:color w:val="auto"/>
        </w:rPr>
      </w:pPr>
    </w:p>
    <w:p>
      <w:pPr>
        <w:ind w:left="980" w:hanging="324"/>
        <w:spacing w:after="0" w:line="282" w:lineRule="auto"/>
        <w:tabs>
          <w:tab w:leader="none" w:pos="9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take place when you or your Related Persons are in possession of MNPI/Inside Information and would not otherwise be prohibited from dealing under this policy;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take place outside the Window or during a Blackout Period (unless there are exceptional circumstances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1536065</wp:posOffset>
            </wp:positionV>
            <wp:extent cx="156845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8">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hanging="332"/>
        <w:spacing w:after="0" w:line="208" w:lineRule="auto"/>
        <w:tabs>
          <w:tab w:leader="none" w:pos="340" w:val="left"/>
        </w:tabs>
        <w:numPr>
          <w:ilvl w:val="0"/>
          <w:numId w:val="17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If you, or your Related Persons wish to deal in Company Securities outside the Window or during a Blackout Period due to exceptional circumstances, you must submit a written notification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56" w:name="page257"/>
    <w:bookmarkEnd w:id="256"/>
    <w:p>
      <w:pPr>
        <w:jc w:val="both"/>
        <w:spacing w:after="0" w:line="266" w:lineRule="auto"/>
        <w:rPr>
          <w:sz w:val="20"/>
          <w:szCs w:val="20"/>
          <w:color w:val="auto"/>
        </w:rPr>
      </w:pPr>
      <w:r>
        <w:rPr>
          <w:rFonts w:ascii="Times New Roman" w:cs="Times New Roman" w:eastAsia="Times New Roman" w:hAnsi="Times New Roman"/>
          <w:sz w:val="18"/>
          <w:szCs w:val="18"/>
          <w:color w:val="auto"/>
        </w:rPr>
        <w:t>You should submit a written request notifying the proposed transaction to the chairman of the Board (if you are a director of the Company), such other director of the Company as has been designated by the Board as being responsible for acknowledgement (if you are the chairman of the Board) or the General Counsel (if you or your Related Persons are not a director of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chairman, the designated director or the General Counsel (as the case may be) will decide whether or not to clear the proposed transaction. The chairman, the designated director or the General Counsel (as the case maybe) have full discretion in making their decision and may decide not to clear a dealing for any reason they consider appropriate.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acknowledgement of the chairman, the designated director or the General Counsel (as the case maybe) is only valid for five trading days from the date on which it is granted or, only if you or your Related Persons are not a director of the Company, the date of the proposed dealing, whichever is later. If the proposed dealing is not executed within this period, the acknowledgement will lapse and a new notification will need to be submitted.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and your Related Persons are immediately and absolutely prohibited from dealing in Company Securities if you or your Related Persons come into possession of Inside Information at any point after submitting your notification to deal.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should inform the General Counsel of the details of any approved dealing by yourself or your Related Persons as soon as possible after executing the dealing.</w:t>
      </w:r>
    </w:p>
    <w:p>
      <w:pPr>
        <w:spacing w:after="0" w:line="158" w:lineRule="exact"/>
        <w:rPr>
          <w:sz w:val="20"/>
          <w:szCs w:val="20"/>
          <w:color w:val="auto"/>
        </w:rPr>
      </w:pPr>
    </w:p>
    <w:p>
      <w:pPr>
        <w:ind w:left="1300" w:hanging="1292"/>
        <w:spacing w:after="0"/>
        <w:tabs>
          <w:tab w:leader="none" w:pos="130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Applicability of U.S. Securities Laws to International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directors, officers and employees of the Company and its subsidiaries are subject to the restrictions on trading in Company Securities and the securities of other companies. The U.S. securities laws may be applicable to trades in the Company Securities executed outside the United States, as well as to the securities of the Company’s subsidiaries or affiliates, even if they are located outside the United States or if you are located outside the United States. Transactions involving securities of subsidiaries or affiliates should be carefully reviewed by counsel for compliance not only with local law but also for possible application of U.S. securities laws.</w:t>
      </w:r>
    </w:p>
    <w:p>
      <w:pPr>
        <w:spacing w:after="0" w:line="179" w:lineRule="exact"/>
        <w:rPr>
          <w:sz w:val="20"/>
          <w:szCs w:val="20"/>
          <w:color w:val="auto"/>
        </w:rPr>
      </w:pPr>
    </w:p>
    <w:p>
      <w:pPr>
        <w:ind w:left="1300" w:hanging="1292"/>
        <w:spacing w:after="0"/>
        <w:tabs>
          <w:tab w:leader="none" w:pos="130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Gifts of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Gifts of Company Securities should only be made (i) when an Insider is not in possession of MNPI and Inside Information and (ii) inside a Window. Gifts of Company Securities are otherwise subject to this Trading Policy, including the guidelines and restrictions set forth under sections II.F., II.G and II.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2386330</wp:posOffset>
            </wp:positionV>
            <wp:extent cx="156845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chairman or designated director for determination. You must be able to satisfy the chairman or the designated director that the circumstances are exceptional and that the proposed dealing is the only reasonable course of action available; for example, where there is a pressing financial commitment that cannot otherwise be satisfied. Before starting this procedure of notification under exceptional circumstances, you should consult with the Company’s General Counsel whether your circumstances are exceptional as acknowledgement to notification for dealing outside the Window or during a Blackout Period is very rarely given.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57" w:name="page258"/>
    <w:bookmarkEnd w:id="257"/>
    <w:p>
      <w:pPr>
        <w:ind w:left="660" w:hanging="652"/>
        <w:spacing w:after="0"/>
        <w:tabs>
          <w:tab w:leader="none" w:pos="66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Limitations on Securities Transactions</w:t>
      </w:r>
    </w:p>
    <w:p>
      <w:pPr>
        <w:spacing w:after="0" w:line="225" w:lineRule="exact"/>
        <w:rPr>
          <w:sz w:val="20"/>
          <w:szCs w:val="20"/>
          <w:color w:val="auto"/>
        </w:rPr>
      </w:pPr>
    </w:p>
    <w:p>
      <w:pPr>
        <w:ind w:left="1300" w:hanging="1292"/>
        <w:spacing w:after="0"/>
        <w:tabs>
          <w:tab w:leader="none" w:pos="130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Public Resales – Rule 144</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 Securities Act of 1933, as amended (the “Securities Act”) requires every person who offers or sells a security to register such transaction with the SEC unless an exemption from registration is available. Rule 144 under the Securities Act is the exemption typically relied upon for (i) public resales by any person of “restricted securities”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unregistered securities acquired in a private offering or sale) and (ii) public resales by directors, officers and other control persons of a company (known as “affiliates”) of any of the Company’s securities, whether restricted or unrestricted.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exemption in Rule 144 may only be relied upon if certain conditions are met. These conditions vary based upon whether the Company has been subject to the SEC’s reporting requirements for 90 days (and is therefore a “reporting company” for purposes of the rule) and whether the person seeking to sell the securities is an affiliate or not. Application of the rule is complex and Company directors, officers and employees should not make a sale of Company securities in reliance on Rule 144 without obtaining the approval of the General Counsel, who may require the director, officer or employee to obtain an outside legal opinion satisfactory to the General Counsel concluding that the proposed sale qualifies for the Rule 144 exemption.</w:t>
      </w:r>
    </w:p>
    <w:p>
      <w:pPr>
        <w:spacing w:after="0" w:line="185" w:lineRule="exact"/>
        <w:rPr>
          <w:sz w:val="20"/>
          <w:szCs w:val="20"/>
          <w:color w:val="auto"/>
        </w:rPr>
      </w:pPr>
    </w:p>
    <w:p>
      <w:pPr>
        <w:jc w:val="both"/>
        <w:ind w:left="660" w:firstLine="320"/>
        <w:spacing w:after="0" w:line="256" w:lineRule="auto"/>
        <w:tabs>
          <w:tab w:leader="none" w:pos="1373"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Holding Period</w:t>
      </w:r>
      <w:r>
        <w:rPr>
          <w:rFonts w:ascii="Times New Roman" w:cs="Times New Roman" w:eastAsia="Times New Roman" w:hAnsi="Times New Roman"/>
          <w:sz w:val="18"/>
          <w:szCs w:val="18"/>
          <w:color w:val="auto"/>
        </w:rPr>
        <w:t>. Restricted securities issued by a reporting company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company that has been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SEC’s reporting requirements for at least 90 days) must be held and fully paid for a period of six months prior to their sale. Restricted securities issued by a non-reporting company are subject to a one-year holding period. The holding period requirement does not apply to securities held by affiliates that were acquired either in the open market or in a public offering of securities registered under the Securities Act. Generally, if the seller acquired the securities from someone other than the Company or an affiliate of the Company, the holding period of the person from whom the seller acquired such securities can be “tacked” to the seller’s holding period in determining if the holding period has been satisfied.</w:t>
      </w:r>
    </w:p>
    <w:p>
      <w:pPr>
        <w:spacing w:after="0" w:line="182" w:lineRule="exact"/>
        <w:rPr>
          <w:rFonts w:ascii="Times New Roman" w:cs="Times New Roman" w:eastAsia="Times New Roman" w:hAnsi="Times New Roman"/>
          <w:sz w:val="18"/>
          <w:szCs w:val="18"/>
          <w:color w:val="auto"/>
        </w:rPr>
      </w:pPr>
    </w:p>
    <w:p>
      <w:pPr>
        <w:jc w:val="both"/>
        <w:ind w:left="660" w:firstLine="320"/>
        <w:spacing w:after="0" w:line="258" w:lineRule="auto"/>
        <w:tabs>
          <w:tab w:leader="none" w:pos="1373"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Current Public Information</w:t>
      </w:r>
      <w:r>
        <w:rPr>
          <w:rFonts w:ascii="Times New Roman" w:cs="Times New Roman" w:eastAsia="Times New Roman" w:hAnsi="Times New Roman"/>
          <w:sz w:val="18"/>
          <w:szCs w:val="18"/>
          <w:color w:val="auto"/>
        </w:rPr>
        <w:t>. Current information about the Company must be publicly available before the sale can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The Company’s periodic reports filed with the SEC ordinarily satisfy this requirement. If the seller is not an affiliate of the Company issuing the securities (and has not been an affiliate for at least three months) and one year has passed since the securities were acquired from the issuer or an affiliate of the issuer (whichever is later), the seller can sell the securities without regard to the current public information requirement.</w:t>
      </w:r>
    </w:p>
    <w:p>
      <w:pPr>
        <w:spacing w:after="0" w:line="185" w:lineRule="exact"/>
        <w:rPr>
          <w:sz w:val="20"/>
          <w:szCs w:val="20"/>
          <w:color w:val="auto"/>
        </w:rPr>
      </w:pPr>
    </w:p>
    <w:p>
      <w:pPr>
        <w:jc w:val="both"/>
        <w:ind w:left="660" w:firstLine="324"/>
        <w:spacing w:after="0" w:line="266" w:lineRule="auto"/>
        <w:rPr>
          <w:sz w:val="20"/>
          <w:szCs w:val="20"/>
          <w:color w:val="auto"/>
        </w:rPr>
      </w:pPr>
      <w:r>
        <w:rPr>
          <w:rFonts w:ascii="Times New Roman" w:cs="Times New Roman" w:eastAsia="Times New Roman" w:hAnsi="Times New Roman"/>
          <w:sz w:val="18"/>
          <w:szCs w:val="18"/>
          <w:color w:val="auto"/>
        </w:rPr>
        <w:t>Rule 144 also imposes the following additional conditions on sales by persons who are “affiliates.” A person or entity is considered an “affiliate,” and therefore subject to these additional conditions, if it is currently an affiliate or has been an affiliate within the previous three months:</w:t>
      </w:r>
    </w:p>
    <w:p>
      <w:pPr>
        <w:spacing w:after="0" w:line="174" w:lineRule="exact"/>
        <w:rPr>
          <w:sz w:val="20"/>
          <w:szCs w:val="20"/>
          <w:color w:val="auto"/>
        </w:rPr>
      </w:pPr>
    </w:p>
    <w:p>
      <w:pPr>
        <w:jc w:val="both"/>
        <w:ind w:left="660" w:firstLine="320"/>
        <w:spacing w:after="0" w:line="258" w:lineRule="auto"/>
        <w:tabs>
          <w:tab w:leader="none" w:pos="137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Volume Limitations</w:t>
      </w:r>
      <w:r>
        <w:rPr>
          <w:rFonts w:ascii="Times New Roman" w:cs="Times New Roman" w:eastAsia="Times New Roman" w:hAnsi="Times New Roman"/>
          <w:sz w:val="18"/>
          <w:szCs w:val="18"/>
          <w:color w:val="auto"/>
        </w:rPr>
        <w:t>. The amount of debt securities that can be sold by an affiliate and by certain persons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affiliate during any three-month period cannot exceed 10% of a tranche (or class when the securities are non-participatory preferred stock), together with all sales of securities of the same tranche sold for the account of the affiliate. The amount of equity securities that can be sold by an affiliate during any three-month period cannot exceed the greater of (i) one percent of the outstanding shares of the class or (ii) the average weekly reported trading volume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58" w:name="page259"/>
    <w:bookmarkEnd w:id="258"/>
    <w:p>
      <w:pPr>
        <w:ind w:left="660" w:right="20"/>
        <w:spacing w:after="0" w:line="282" w:lineRule="auto"/>
        <w:rPr>
          <w:sz w:val="20"/>
          <w:szCs w:val="20"/>
          <w:color w:val="auto"/>
        </w:rPr>
      </w:pPr>
      <w:r>
        <w:rPr>
          <w:rFonts w:ascii="Times New Roman" w:cs="Times New Roman" w:eastAsia="Times New Roman" w:hAnsi="Times New Roman"/>
          <w:sz w:val="18"/>
          <w:szCs w:val="18"/>
          <w:color w:val="auto"/>
        </w:rPr>
        <w:t>shares of the class during the four calendar weeks preceding the time the order to sell is received by the broker or executed directly with a market maker.</w:t>
      </w:r>
    </w:p>
    <w:p>
      <w:pPr>
        <w:spacing w:after="0" w:line="160" w:lineRule="exact"/>
        <w:rPr>
          <w:sz w:val="20"/>
          <w:szCs w:val="20"/>
          <w:color w:val="auto"/>
        </w:rPr>
      </w:pPr>
    </w:p>
    <w:p>
      <w:pPr>
        <w:ind w:left="660" w:firstLine="320"/>
        <w:spacing w:after="0" w:line="284" w:lineRule="auto"/>
        <w:tabs>
          <w:tab w:leader="none" w:pos="137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Manner of Sale</w:t>
      </w:r>
      <w:r>
        <w:rPr>
          <w:rFonts w:ascii="Times New Roman" w:cs="Times New Roman" w:eastAsia="Times New Roman" w:hAnsi="Times New Roman"/>
          <w:sz w:val="18"/>
          <w:szCs w:val="18"/>
          <w:color w:val="auto"/>
        </w:rPr>
        <w:t>. Equity securities held by affiliates must be sold in unsolicited brokers’ transactions, directly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market-maker or in riskless principal transactions.</w:t>
      </w:r>
    </w:p>
    <w:p>
      <w:pPr>
        <w:spacing w:after="0" w:line="158" w:lineRule="exact"/>
        <w:rPr>
          <w:rFonts w:ascii="Times New Roman" w:cs="Times New Roman" w:eastAsia="Times New Roman" w:hAnsi="Times New Roman"/>
          <w:sz w:val="18"/>
          <w:szCs w:val="18"/>
          <w:color w:val="auto"/>
        </w:rPr>
      </w:pPr>
    </w:p>
    <w:p>
      <w:pPr>
        <w:jc w:val="both"/>
        <w:ind w:left="660" w:firstLine="320"/>
        <w:spacing w:after="0" w:line="267" w:lineRule="auto"/>
        <w:tabs>
          <w:tab w:leader="none" w:pos="137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Sale</w:t>
      </w:r>
      <w:r>
        <w:rPr>
          <w:rFonts w:ascii="Times New Roman" w:cs="Times New Roman" w:eastAsia="Times New Roman" w:hAnsi="Times New Roman"/>
          <w:sz w:val="18"/>
          <w:szCs w:val="18"/>
          <w:color w:val="auto"/>
        </w:rPr>
        <w:t>. An affiliate seller must file a notice of the proposed sale with the SEC at the time the order to sell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placed with the broker, unless the amount to be sold neither exceeds 5,000 shares nor involves sale proceeds greater than $50,000. See “Filing Requirements”.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gifts are not deemed to involve sales of shares for purposes of Rule 144, so they can be made at any time without limitation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amount of the gift, subject to the terms of this Trading Policy and in compliance with applicable law. Donees who receive restricted securities from an affiliate generally will be subject to the same restrictions under Rule 144 that would have applied to the donor, depending on the circumstances.</w:t>
      </w:r>
    </w:p>
    <w:p>
      <w:pPr>
        <w:spacing w:after="0" w:line="178" w:lineRule="exact"/>
        <w:rPr>
          <w:sz w:val="20"/>
          <w:szCs w:val="20"/>
          <w:color w:val="auto"/>
        </w:rPr>
      </w:pPr>
    </w:p>
    <w:p>
      <w:pPr>
        <w:ind w:left="1300" w:hanging="1292"/>
        <w:spacing w:after="0"/>
        <w:tabs>
          <w:tab w:leader="none" w:pos="130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Private Resales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Directors and officers also may sell securities in a private transaction without registration pursuant to Section 4(a)(7) of the Securities Act, which allows resales of shares of reporting companies to accredited investors, provided that the sale is not solicited by any form of general solicitation or advertising. There are a number of additional requirements, including that the seller and persons participating in the sale on a remunerated basis are not “bad actors” under Rule 506(d)(1) of Regulation D or otherwise subject to certain statutory disqualifications; the Company is engaged in a business and not in bankruptcy; and the securities offered have been outstanding for at least 90 days and are not part of an unsold underwriter’s allotment. Private resales must be reviewed in advance by the Company’s General Counsel and may require the participation of outside counsel.</w:t>
      </w:r>
    </w:p>
    <w:p>
      <w:pPr>
        <w:spacing w:after="0" w:line="185" w:lineRule="exact"/>
        <w:rPr>
          <w:sz w:val="20"/>
          <w:szCs w:val="20"/>
          <w:color w:val="auto"/>
        </w:rPr>
      </w:pPr>
    </w:p>
    <w:p>
      <w:pPr>
        <w:ind w:left="1300" w:hanging="1292"/>
        <w:spacing w:after="0"/>
        <w:tabs>
          <w:tab w:leader="none" w:pos="130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Restrictions on Purchases of Company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prevent market manipulation, the SEC adopted Regulation M under the Exchange Act. Regulation M generally restricts the Company or any of its affiliates from buying Company stock, including as part of a share buyback program, in the open market during certain periods while a distribution, such as a public offering, is taking place. You should consult with the Company’s General Counsel if you desire to make purchases of Company stock during any period in which the Company is conducting an offering or from the public. Similar considerations may apply during period when the Company is conducting or has announced a tender offer.</w:t>
      </w:r>
    </w:p>
    <w:p>
      <w:pPr>
        <w:spacing w:after="0" w:line="179" w:lineRule="exact"/>
        <w:rPr>
          <w:sz w:val="20"/>
          <w:szCs w:val="20"/>
          <w:color w:val="auto"/>
        </w:rPr>
      </w:pPr>
    </w:p>
    <w:p>
      <w:pPr>
        <w:ind w:left="1300" w:hanging="1292"/>
        <w:spacing w:after="0"/>
        <w:tabs>
          <w:tab w:leader="none" w:pos="130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Filing Requirements</w:t>
      </w:r>
    </w:p>
    <w:p>
      <w:pPr>
        <w:spacing w:after="0" w:line="227" w:lineRule="exact"/>
        <w:rPr>
          <w:rFonts w:ascii="Times New Roman" w:cs="Times New Roman" w:eastAsia="Times New Roman" w:hAnsi="Times New Roman"/>
          <w:sz w:val="18"/>
          <w:szCs w:val="18"/>
          <w:b w:val="1"/>
          <w:bCs w:val="1"/>
          <w:color w:val="auto"/>
        </w:rPr>
      </w:pPr>
    </w:p>
    <w:p>
      <w:pPr>
        <w:jc w:val="both"/>
        <w:ind w:left="660" w:firstLine="320"/>
        <w:spacing w:after="0" w:line="261" w:lineRule="auto"/>
        <w:tabs>
          <w:tab w:leader="none" w:pos="1373"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Schedule 13D and 13G</w:t>
      </w:r>
      <w:r>
        <w:rPr>
          <w:rFonts w:ascii="Times New Roman" w:cs="Times New Roman" w:eastAsia="Times New Roman" w:hAnsi="Times New Roman"/>
          <w:sz w:val="18"/>
          <w:szCs w:val="18"/>
          <w:color w:val="auto"/>
        </w:rPr>
        <w:t>. Section 13(d) of the Exchange Act requires the filing of a statement on Schedule 13D (or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Schedule 13G, in certain limited circumstances) by any person or group that acquires beneficial ownership of more than five percent of a class of equity securities registered under the Exchange Act. The threshold for reporting is met if the stock owned, when coupled with the amount of stock subject to options exercisable within 60 days, exceeds the five percent limit.</w:t>
      </w:r>
    </w:p>
    <w:p>
      <w:pPr>
        <w:spacing w:after="0" w:line="18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 report on Schedule 13D is required to be filed with the SEC and submitted to the Company within five business days after the reporting threshold is reached. If a material change occurs in the facts set forth in the Schedule 13D, such as an increase or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59" w:name="page260"/>
    <w:bookmarkEnd w:id="259"/>
    <w:p>
      <w:pPr>
        <w:jc w:val="both"/>
        <w:ind w:left="200"/>
        <w:spacing w:after="0" w:line="282" w:lineRule="auto"/>
        <w:rPr>
          <w:sz w:val="20"/>
          <w:szCs w:val="20"/>
          <w:color w:val="auto"/>
        </w:rPr>
      </w:pPr>
      <w:r>
        <w:rPr>
          <w:rFonts w:ascii="Times New Roman" w:cs="Times New Roman" w:eastAsia="Times New Roman" w:hAnsi="Times New Roman"/>
          <w:sz w:val="18"/>
          <w:szCs w:val="18"/>
          <w:color w:val="auto"/>
        </w:rPr>
        <w:t>of one percent or more in the percentage of stock beneficially owned, an amendment disclosing the change must be filed within two business days. A decrease in beneficial ownership to less than five percent is per se material and must be reported.</w:t>
      </w:r>
    </w:p>
    <w:p>
      <w:pPr>
        <w:spacing w:after="0" w:line="162" w:lineRule="exact"/>
        <w:rPr>
          <w:sz w:val="20"/>
          <w:szCs w:val="20"/>
          <w:color w:val="auto"/>
        </w:rPr>
      </w:pPr>
    </w:p>
    <w:p>
      <w:pPr>
        <w:jc w:val="both"/>
        <w:ind w:left="200"/>
        <w:spacing w:after="0" w:line="258" w:lineRule="auto"/>
        <w:rPr>
          <w:sz w:val="20"/>
          <w:szCs w:val="20"/>
          <w:color w:val="auto"/>
        </w:rPr>
      </w:pPr>
      <w:r>
        <w:rPr>
          <w:rFonts w:ascii="Times New Roman" w:cs="Times New Roman" w:eastAsia="Times New Roman" w:hAnsi="Times New Roman"/>
          <w:sz w:val="18"/>
          <w:szCs w:val="18"/>
          <w:color w:val="auto"/>
        </w:rPr>
        <w:t>Certain categories of persons meeting the relevant requirements of Rule 13d-1(b), 13d-1(c) or 13d-1(d) may file on Schedule 13G, which is a much abbreviated version of Schedule 13D, as long as the securities were acquired in the ordinary course of business and not with the purpose or effect of changing or influencing the control of the issuer. A report on Schedule 13G is required to be filed with the SEC and submitted to the Company within 45 days after the end of the quarter in which the reporting threshold is reached.</w:t>
      </w:r>
    </w:p>
    <w:p>
      <w:pPr>
        <w:spacing w:after="0" w:line="183" w:lineRule="exact"/>
        <w:rPr>
          <w:sz w:val="20"/>
          <w:szCs w:val="20"/>
          <w:color w:val="auto"/>
        </w:rPr>
      </w:pPr>
    </w:p>
    <w:p>
      <w:pPr>
        <w:jc w:val="both"/>
        <w:ind w:left="200"/>
        <w:spacing w:after="0" w:line="261" w:lineRule="auto"/>
        <w:rPr>
          <w:sz w:val="20"/>
          <w:szCs w:val="20"/>
          <w:color w:val="auto"/>
        </w:rPr>
      </w:pPr>
      <w:r>
        <w:rPr>
          <w:rFonts w:ascii="Times New Roman" w:cs="Times New Roman" w:eastAsia="Times New Roman" w:hAnsi="Times New Roman"/>
          <w:sz w:val="18"/>
          <w:szCs w:val="18"/>
          <w:color w:val="auto"/>
        </w:rPr>
        <w:t>A person is deemed the beneficial owner of securities for purposes of Section 13(d) if such person has or shares voting power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power to vote or direct the voting of the securities) or dispositive power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power to sell or direct the sale of the securities). As is true under Section 16(a) of the Exchange Act, a person filing a Schedule 13D may seek to disclaim beneficial ownership of any securities attributed to him or her if he or she believes there is a reasonable basis for doing so.</w:t>
      </w:r>
    </w:p>
    <w:p>
      <w:pPr>
        <w:spacing w:after="0" w:line="178" w:lineRule="exact"/>
        <w:rPr>
          <w:sz w:val="20"/>
          <w:szCs w:val="20"/>
          <w:color w:val="auto"/>
        </w:rPr>
      </w:pPr>
    </w:p>
    <w:p>
      <w:pPr>
        <w:jc w:val="both"/>
        <w:ind w:left="200" w:firstLine="320"/>
        <w:spacing w:after="0" w:line="267" w:lineRule="auto"/>
        <w:tabs>
          <w:tab w:leader="none" w:pos="91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Form 144</w:t>
      </w:r>
      <w:r>
        <w:rPr>
          <w:rFonts w:ascii="Times New Roman" w:cs="Times New Roman" w:eastAsia="Times New Roman" w:hAnsi="Times New Roman"/>
          <w:sz w:val="18"/>
          <w:szCs w:val="18"/>
          <w:color w:val="auto"/>
        </w:rPr>
        <w:t>. As described above under the discussion of Rule 144, an affiliate seller relying on Rule 144 must file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of proposed sale with the SEC at the time the order to sell is placed with the broker unless the amount to be sold during any three-month period neither exceeds 5,000 shares nor involves sale proceeds greater than $50,000.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Pony AI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 Guidelines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guidelines apply for any Rule 10b5-1 trading plan (a “10b5-1 Plan”) relating to the stock of Pony AI Inc. (the “Company”). All 10b5-1 Plans entered into by any Insider (as defined below) and any amendment, suspension or termination must comply with Rule 10b5-1 of the Securities Exchange Act of 1934, as amended (the “Exchange Act”), the Company’s Statement of Policy Concerning Trading in Company Securities (the “Trading Policy”) and other Company policies and must meet the following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 directors, officers and employees (each, an “Insider,” and collectively, “Insiders”) are eligible to adopt a 10b5-1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and Approval</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10b5-1 Plan must be in writing and signed by the Insider, and the Insider must provide a copy to the Company. The Company will keep a copy of each 10b5-1 Plan in its files. The form of each 10b5-1 Plan, and any subsequent amendment, suspension or termination must be consistent with these guidelines. Each 10b5-1 Plan must be approved in writing by the Company’s General Counsel prior to the adoption, amendment, suspension or termination of such plan. A 10b5-1 Plan must not permit an Insider to exercise any subsequent influence over how, when or whether to effect purchases or sales. Sales under a 10b5-1 Plan must be via an approved broker. The Insider must act in good faith with respect to a 10b5-1 Plan when the Plan is adopted and for the duration of the Plan and must not enter into a 10b5-1 Plan as part of a plan or scheme to evade the prohibitions of Rule 10b-5. In addition, each 10b5-1 Plan must include a representation by the Insider certifying that (a) such person is not in possession of material nonpublic information about the Company or its securities, and (b) the 10b5-1 Plan is being adopted in good faith and not as part of a plan to evade the prohibitions of Rule 10b-5.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Timing and Term of Plan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10b5-1 Plan must be adopted (a) during an open trading window under the Company’s Trading Policy, and (b) when the Insider does not otherwise possess material nonpublic information about the Company. Each 10b5-1 Plan must provide for delayed effectiveness after adoption or amendment (a “Cooling-Off Period”). For Insiders who are directors or officers (“D&amp;O Insiders”), each 10b5-1 Plan must specify that trades may not execute under the 10b5-1 Plan until the later of (a) 90 days after the date of adoption or amendment of the 10b5-1 Plan and (b) 2 business days following the Company’s filing of a quarterly or annual report covering the financial reporting period in which the 10b5-1 Plan was adopted or amended, but in no event later than 120 days after the date of adoption or amendment of the 10b5-1 Plan. For all other Insiders (the “Other Insiders”), each 10b5-1 Plan must specify that trades may not execute under the 10b5-1 Plan for a period of at least 30 days after the date of adoption or amendment of the 10b5-1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color w:val="auto"/>
        </w:rPr>
        <w:t>Plan Specifications; Discretion Regarding Trades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10b5-1 Plan must either (a) specify the amount of securities to be purchased or sold and the price at which and the date on which the securities are to be purchased or sold, or (b) specify or set an objective formula or algorithm for determining the amount of stock to be purchased or sold and the price at which and the date on which the securities are to be purchased or sold.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Suspension and Termination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Amendments, suspensions, and terminations of 10b5-1 Plans must be approved in advance by the General Counsel. In addition, an Insider may voluntarily amend a 10b5-1 Plan only (a) during an open trading window under the Company’s Trading Policy and (b) when the Insider does not otherwise possess material nonpublic information about the Company. Insiders may make amendments to 10b5-1 Plans without triggering a Cooling-Off Period so long as the amendment does not change the pricing provisions of the 10b5-1 Plan, the amount of securities covered under the 10b5-1 Plan or the timing of trades under the 10b5-1 Plan, or where a broker executing trades on behalf of the Insider is substituted by a different broker (so long as the purchase or sales instructions remain the same).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Mandatory Suspension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10b5-1 Plan must provide for suspension of trades under such plan if legal, regulatory or contractual restrictions are imposed on the Insider, or if these guidelines are amended, or other events occur, that would prohibit sales under such 10b5-1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Termination of a Plan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 Insider terminates a 10b5-1 Plan prior to its stated duration, such Insider may not trade in Company securities (other than pursuant to another 10b5-1 Plan already in place) for a period of at least 30 days following such termination; provided, however, that any trades following such termination shall comply with the Company’s Trading Policy. If an existing 10b5-1 Plan is terminated early and another 10b5-1 Plan is already in place, the first trade under the later-commencing plan must not be scheduled to occur until after the end of the effective Cooling-Off Period following the termination of the earlier 10b5-1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to Cover</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Insider may have only one 10b5-1 Plan in effect at any time, except that a written, irrevocable election (an “Election”) by an Insider to sell a portion of shares as necessary to satisfy statutory tax withholding obligations arising solely from the vesting of compensatory awards (not including options) (“Sales to Cover”) is permitted even if not included in the directions in the Insider’s 10b5-1 Plan, provided that (a) the Election is made during an open trading window under the Trading Policy, (b) at the time of the Election, the Insider is not aware of any material, nonpublic information with respect to the Company or any securities of the Company, (c) the Sales to Cover are made in good faith and not as part of a plan or scheme to evade the prohibitions of Rule 10b-5, (d) the Insider does not have, and will not attempt to exercise, authority, influence or control over any such Sales to Cover, and (e) the Election contains appropriate representations as to clauses (b)-(d).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color w:val="auto"/>
        </w:rPr>
        <w:t>No Overlapping Plans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Insider may adopt a new 10b5-1 Plan to replace an existing 10b5-1 Plan before the scheduled termination date of such existing 10b5-1 Plan, so long as the first scheduled trade under the new 10b5-1 Plan does not occur until after all trades under the existing 10b5-1 Plan are completed or expire without execution (subject to any Cooling-Off Periods).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However, where the first trade under a later-commencing plan is scheduled during what would have been the Cooling-off Period for that plan assuming the termination date of the earlier-commencing plan were deemed to be the date of adoption of the later-commencing plan, then Rule 10b5-1 would not be available for the later-commencing plan. For example, a Window Group Member who is not an officer or director has in place an existing Rule 10b5-1 plan with a scheduled date for the latest authorized trade of May 31, 2023. On May 1, 2023, that Window Group Member adopts a later-commencing plan, intended to qualify for the affirmative defense under Rule 10b5-1, with a scheduled date for the first authorized trade of June 1, 2023. If that Window Group Member terminates the earlier-commencing plan on May 15, the later-commencing plan will not receive the benefit of the affirmative defense, because June 1 is within 30 days of May 15, the date of termination of the earlier-commencing plan, and thus June 1 is during the “effective cooling-off period.” However, if the later-commencing plan were scheduled to begin trading on July 1, 2023, it could still receive the benefit of the affirmative defense because July 1, 2023 is more than 30 days after May 15 and thus is outside the “effective cooling-off period.”</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series of separate contracts with different brokers to execute trades under a 10b5-1 Plan may be treated as a single plan, provided the contracts as a whole meet the conditions under Rule 10b5-1, and provided further that any amendment of one contract is treated as an amendment of all of the contracts under the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Single-Trade Arrangements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any 12-month period, an Insider is limited to one “single-trade plan” — one designed to effect the open market purchase or sale of the total amount of the securities subject to the plan as a single transaction. The following do not constitute single-trade plans: (a) a 10b5-1 Plan that gives discretion to an agent over whether to execute the 10b5-1 Plan as a single transaction or that provides the agent’s future acts depend on facts not known at the time the 10b5-1 Plan’s adoption and might reasonably result in multiple transactions and (b) Sales to Cover.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Hedging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described in the Trading Policy, individuals subject to the policy are prohibited from engaging in any hedging or similar transactions designed to decrease the risks associated with holding Company securities. Further to this end, an Insider adopting a 10b5-1 Plan may not have entered into or altered a corresponding or hedging transaction or position with respect to the securities subject to the 10b5-1 Plan and must agree not to enter into any such transaction while the 10b5-1 Plan is in effect.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Rule 144</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sales made under a 10b5-1 Plan must be made in reliance on an exemption from registration under the Securities Act of 1933, as amended (the “Securities Act”) and may not be made pursuant to a registration statement. To the extent that sales made under a 10b5-1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63" w:name="page264"/>
    <w:bookmarkEnd w:id="263"/>
    <w:p>
      <w:pPr>
        <w:spacing w:after="0" w:line="282" w:lineRule="auto"/>
        <w:rPr>
          <w:sz w:val="20"/>
          <w:szCs w:val="20"/>
          <w:color w:val="auto"/>
        </w:rPr>
      </w:pPr>
      <w:r>
        <w:rPr>
          <w:rFonts w:ascii="Times New Roman" w:cs="Times New Roman" w:eastAsia="Times New Roman" w:hAnsi="Times New Roman"/>
          <w:sz w:val="18"/>
          <w:szCs w:val="18"/>
          <w:color w:val="auto"/>
        </w:rPr>
        <w:t>Plan are made pursuant to Rule 144 under the Securities Act, such 10b5-1 Plan must provide for specific procedures to comply with Rule 144, including the filing of Forms 144.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Footnote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Insiders must footnote trades disclosed on Forms 144 to indicate that the trades were made pursuant to a 10b5-1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Trading Policies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policies and procedures govern repurchases of the Company’s equity securities (“Repurchases”) approved from time to time by the Board of Directors (the “Board”) of the Company to help ensure that such Repurchases are not made, or a share repurchase plan is not adopted, when the Company is in possession of material non-public information concerning the Company (“MNPI”). Capitalized terms used but not defined herein have the respective meanings given to them in the Company’s Trading Policy.</w:t>
      </w:r>
    </w:p>
    <w:p>
      <w:pPr>
        <w:spacing w:after="0" w:line="178" w:lineRule="exact"/>
        <w:rPr>
          <w:sz w:val="20"/>
          <w:szCs w:val="20"/>
          <w:color w:val="auto"/>
        </w:rPr>
      </w:pPr>
    </w:p>
    <w:p>
      <w:pPr>
        <w:jc w:val="both"/>
        <w:ind w:left="660" w:firstLine="644"/>
        <w:spacing w:after="0" w:line="267" w:lineRule="auto"/>
        <w:tabs>
          <w:tab w:leader="none" w:pos="163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Policy</w:t>
      </w:r>
      <w:r>
        <w:rPr>
          <w:rFonts w:ascii="Times New Roman" w:cs="Times New Roman" w:eastAsia="Times New Roman" w:hAnsi="Times New Roman"/>
          <w:sz w:val="18"/>
          <w:szCs w:val="18"/>
          <w:color w:val="auto"/>
        </w:rPr>
        <w:t>. It is the Company’s policy that no Repurchases may take place outside a Window or when the Company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in possession of MNPI, other than Repurchases made pursuant to a Rule 10b5-1 Plan or otherwise in compliance with applicable law.</w:t>
      </w:r>
    </w:p>
    <w:p>
      <w:pPr>
        <w:spacing w:after="0" w:line="173" w:lineRule="exact"/>
        <w:rPr>
          <w:rFonts w:ascii="Times New Roman" w:cs="Times New Roman" w:eastAsia="Times New Roman" w:hAnsi="Times New Roman"/>
          <w:sz w:val="18"/>
          <w:szCs w:val="18"/>
          <w:color w:val="auto"/>
        </w:rPr>
      </w:pPr>
    </w:p>
    <w:p>
      <w:pPr>
        <w:ind w:left="660" w:right="20" w:firstLine="644"/>
        <w:spacing w:after="0" w:line="284" w:lineRule="auto"/>
        <w:tabs>
          <w:tab w:leader="none" w:pos="163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Trading Activity</w:t>
      </w:r>
      <w:r>
        <w:rPr>
          <w:rFonts w:ascii="Times New Roman" w:cs="Times New Roman" w:eastAsia="Times New Roman" w:hAnsi="Times New Roman"/>
          <w:sz w:val="18"/>
          <w:szCs w:val="18"/>
          <w:color w:val="auto"/>
        </w:rPr>
        <w:t>. Any Repurchases, or the adoption of a Rule 10b5-1 Plan to effect Repurchases shall be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procedures:</w:t>
      </w:r>
    </w:p>
    <w:p>
      <w:pPr>
        <w:spacing w:after="0" w:line="160"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272"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 Rule 10b5-1 Plan shall be subject to prior written approval by the General Counsel. The General Counsel shall take such steps as he or she deems reasonably necessary to ascertain that the Company is not in possession of MNPI at the time of plan adoption, including but not limited to consulting with other members of senior management (each, an “Authorized Officer”) and/or legal counsel.</w:t>
      </w:r>
    </w:p>
    <w:p>
      <w:pPr>
        <w:spacing w:after="0" w:line="179"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272"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Repurchases that have been approved by the Board, if at any time during the period such Repurchases are scheduled to take place, the General Counsel or any Authorized Officer become aware of any MNPI, they shall notify the relevant employee(s) at the Company responsible for effecting Repurchases as soon as practicable to suspend such Repurchases.</w:t>
      </w:r>
    </w:p>
    <w:p>
      <w:pPr>
        <w:spacing w:after="0" w:line="179"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72"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the General Counsel and such Authorized Officer are satisfied that, to their knowledge, the Company is no longer in possession of MNPI, they shall notify the relevant employee(s) that the Company may resume its Repurchases.</w:t>
      </w:r>
    </w:p>
    <w:p>
      <w:pPr>
        <w:spacing w:after="0" w:line="173" w:lineRule="exact"/>
        <w:rPr>
          <w:rFonts w:ascii="Times New Roman" w:cs="Times New Roman" w:eastAsia="Times New Roman" w:hAnsi="Times New Roman"/>
          <w:sz w:val="18"/>
          <w:szCs w:val="18"/>
          <w:color w:val="auto"/>
        </w:rPr>
      </w:pPr>
    </w:p>
    <w:p>
      <w:pPr>
        <w:ind w:left="660" w:right="20" w:firstLine="644"/>
        <w:spacing w:after="0" w:line="284" w:lineRule="auto"/>
        <w:tabs>
          <w:tab w:leader="none" w:pos="163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Recordkeeping</w:t>
      </w:r>
      <w:r>
        <w:rPr>
          <w:rFonts w:ascii="Times New Roman" w:cs="Times New Roman" w:eastAsia="Times New Roman" w:hAnsi="Times New Roman"/>
          <w:sz w:val="18"/>
          <w:szCs w:val="18"/>
          <w:color w:val="auto"/>
        </w:rPr>
        <w:t>. The General Counsel shall maintain a record of the communications referred to in these policies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procedures in compliance with the Company’s recordkeeping policies.</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67" w:lineRule="auto"/>
        <w:tabs>
          <w:tab w:leader="none" w:pos="163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Training</w:t>
      </w:r>
      <w:r>
        <w:rPr>
          <w:rFonts w:ascii="Times New Roman" w:cs="Times New Roman" w:eastAsia="Times New Roman" w:hAnsi="Times New Roman"/>
          <w:sz w:val="18"/>
          <w:szCs w:val="18"/>
          <w:color w:val="auto"/>
        </w:rPr>
        <w:t>. Company directors, officers and employees who are involved in the Company’s securities trading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shall be provided training on the Trading Policy and these policies and procedures consistent with the Company’s employee training policies.</w:t>
      </w:r>
    </w:p>
    <w:p>
      <w:pPr>
        <w:spacing w:after="0" w:line="173" w:lineRule="exact"/>
        <w:rPr>
          <w:rFonts w:ascii="Times New Roman" w:cs="Times New Roman" w:eastAsia="Times New Roman" w:hAnsi="Times New Roman"/>
          <w:sz w:val="18"/>
          <w:szCs w:val="18"/>
          <w:color w:val="auto"/>
        </w:rPr>
      </w:pPr>
    </w:p>
    <w:p>
      <w:pPr>
        <w:jc w:val="both"/>
        <w:ind w:left="660" w:firstLine="644"/>
        <w:spacing w:after="0" w:line="267" w:lineRule="auto"/>
        <w:tabs>
          <w:tab w:leader="none" w:pos="163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Modification or Waiver</w:t>
      </w:r>
      <w:r>
        <w:rPr>
          <w:rFonts w:ascii="Times New Roman" w:cs="Times New Roman" w:eastAsia="Times New Roman" w:hAnsi="Times New Roman"/>
          <w:sz w:val="18"/>
          <w:szCs w:val="18"/>
          <w:color w:val="auto"/>
        </w:rPr>
        <w:t>. These policies and procedures may be modified, and specific requirements therein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waived, subject to approval by the General Counsel if he or she deems such modifications or waivers are appropriate based on particular facts and circumstances, and in compliance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65" w:name="page266"/>
    <w:bookmarkEnd w:id="265"/>
    <w:p>
      <w:pPr>
        <w:ind w:left="200" w:firstLine="644"/>
        <w:spacing w:after="0" w:line="284" w:lineRule="auto"/>
        <w:tabs>
          <w:tab w:leader="none" w:pos="1172"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color w:val="auto"/>
        </w:rPr>
        <w:t>. These policies and procedures must be reviewed periodically as determined by the General Counsel.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material amendments to these policies and procedures shall require the approval of the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9" w:right="99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Examples of possible Inside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non-exhaustive and purely indicative list of possible Inside Information is extracted from paragraph 35 of the Guidelines on Disclosure of Inside Information published by the Securities and Futures Commission in June 2012.</w:t>
      </w:r>
    </w:p>
    <w:p>
      <w:pPr>
        <w:spacing w:after="0" w:line="162" w:lineRule="exact"/>
        <w:rPr>
          <w:sz w:val="20"/>
          <w:szCs w:val="20"/>
          <w:color w:val="auto"/>
        </w:rPr>
      </w:pPr>
    </w:p>
    <w:p>
      <w:pPr>
        <w:ind w:left="660" w:hanging="328"/>
        <w:spacing w:after="0"/>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performance, or the expectation of the performance, of the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condition, e.g. cashflow crisis, credit crunch;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control and control agreements;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directors and (if applicable) supervisors;</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directors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service contracts;</w:t>
      </w:r>
    </w:p>
    <w:p>
      <w:pPr>
        <w:spacing w:after="0" w:line="22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auditors or any other information related to the auditors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activity;</w:t>
      </w:r>
    </w:p>
    <w:p>
      <w:pPr>
        <w:spacing w:after="0" w:line="24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share capital, e.g. new share placing, bonus issue, rights issue, share split, share consolidation and capital reduction;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of debt securities, convertible instruments, options or warrants to acquire or subscribe for securities;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Takeovers and mergers (corporations will also need to comply with the Takeovers Codes that include specific disclosure obligations);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disposal of equity interests or other major assets or business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Formation of a joint venture;</w:t>
      </w:r>
    </w:p>
    <w:p>
      <w:pPr>
        <w:spacing w:after="0" w:line="206" w:lineRule="exact"/>
        <w:rPr>
          <w:rFonts w:ascii="Times New Roman" w:cs="Times New Roman" w:eastAsia="Times New Roman" w:hAnsi="Times New Roman"/>
          <w:sz w:val="18"/>
          <w:szCs w:val="18"/>
          <w:color w:val="auto"/>
        </w:rPr>
      </w:pPr>
    </w:p>
    <w:p>
      <w:pPr>
        <w:ind w:left="660" w:right="20" w:hanging="328"/>
        <w:spacing w:after="0" w:line="302" w:lineRule="auto"/>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Restructurings, reorganizations and spin-offs that have an effect on the corporation</w:t>
      </w:r>
      <w:r>
        <w:rPr>
          <w:rFonts w:ascii="Arial" w:cs="Arial" w:eastAsia="Arial" w:hAnsi="Arial"/>
          <w:sz w:val="18"/>
          <w:szCs w:val="18"/>
          <w:color w:val="auto"/>
        </w:rPr>
        <w:t>‟</w:t>
      </w:r>
      <w:r>
        <w:rPr>
          <w:rFonts w:ascii="Times New Roman" w:cs="Times New Roman" w:eastAsia="Times New Roman" w:hAnsi="Times New Roman"/>
          <w:sz w:val="18"/>
          <w:szCs w:val="18"/>
          <w:color w:val="auto"/>
        </w:rPr>
        <w:t>s assets, liabilities, financial position or profits and losses;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concerning buy-back programmes or transactions in other listed financial instruments;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memorandum and articles (or equivalent constitutional documents);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of winding up petitions, the issuing of winding up orders or the appointment of provisional receivers or liquidators;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disputes and proceedings;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Revocation or cancellation of credit lines by one or more banks;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value of assets (including advances, loans, debts or other forms of financial assistance);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of relevant debtors;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67" w:name="page268"/>
    <w:bookmarkEnd w:id="267"/>
    <w:p>
      <w:pPr>
        <w:ind w:left="328" w:hanging="328"/>
        <w:spacing w:after="0"/>
        <w:tabs>
          <w:tab w:leader="none" w:pos="32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real properties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values;</w:t>
      </w:r>
    </w:p>
    <w:p>
      <w:pPr>
        <w:spacing w:after="0" w:line="24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destruction of uninsured goods;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licenses, patents, registered trademarks;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or increase in value of financial instruments in portfolio which include financial assets or liabilities arising from futures contracts, derivatives, warrants, swaps protective hedges, credit default swaps;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value of patents or rights or intangible assets due to market innovation;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acquisition bids for relevant assets;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Innovative products or processes;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expected earnings or losses;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received from customers, their cancellation or important changes;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from or entry into new core business areas;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investment policy;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accounting policy;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Ex-dividend date, changes in dividend payment date and amount of dividend; changes in dividend policy;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 of the corporation’s shares by controlling shareholders; or</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matter which was the subject of a previous announcement.</w:t>
      </w: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360045</wp:posOffset>
            </wp:positionV>
            <wp:extent cx="629221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8"/>
          </w:cols>
          <w:pgMar w:left="1312" w:top="104" w:right="999"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 Jun Peng, certify that:</w:t>
      </w:r>
    </w:p>
    <w:p>
      <w:pPr>
        <w:spacing w:after="0" w:line="225" w:lineRule="exact"/>
        <w:rPr>
          <w:sz w:val="20"/>
          <w:szCs w:val="20"/>
          <w:color w:val="auto"/>
        </w:rPr>
      </w:pPr>
    </w:p>
    <w:p>
      <w:pPr>
        <w:ind w:left="660" w:hanging="328"/>
        <w:spacing w:after="0"/>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Pony AI Inc. (the “company”);</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161"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8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right="420" w:hanging="324"/>
        <w:spacing w:after="0" w:line="289" w:lineRule="auto"/>
        <w:tabs>
          <w:tab w:leader="none" w:pos="980" w:val="left"/>
        </w:tabs>
        <w:numPr>
          <w:ilvl w:val="1"/>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 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8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980" w:right="160" w:hanging="324"/>
        <w:spacing w:after="0" w:line="266" w:lineRule="auto"/>
        <w:tabs>
          <w:tab w:leader="none" w:pos="98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Date: April 22, 2026</w:t>
      </w:r>
    </w:p>
    <w:p>
      <w:pPr>
        <w:spacing w:after="0" w:line="225"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8"/>
          <w:szCs w:val="18"/>
          <w:color w:val="auto"/>
        </w:rPr>
        <w:t>By:</w:t>
        <w:tab/>
        <w:t>/s/ Jun Peng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17145</wp:posOffset>
            </wp:positionV>
            <wp:extent cx="282892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3">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Name:Dr. Jun Peng</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69" w:name="page270"/>
    <w:bookmarkEnd w:id="269"/>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 Haojun Wang, certify that:</w:t>
      </w:r>
    </w:p>
    <w:p>
      <w:pPr>
        <w:spacing w:after="0" w:line="225" w:lineRule="exact"/>
        <w:rPr>
          <w:sz w:val="20"/>
          <w:szCs w:val="20"/>
          <w:color w:val="auto"/>
        </w:rPr>
      </w:pPr>
    </w:p>
    <w:p>
      <w:pPr>
        <w:ind w:left="660" w:hanging="328"/>
        <w:spacing w:after="0"/>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Pony AI Inc. (the “company”);</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161"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8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right="420" w:hanging="324"/>
        <w:spacing w:after="0" w:line="289" w:lineRule="auto"/>
        <w:tabs>
          <w:tab w:leader="none" w:pos="980" w:val="left"/>
        </w:tabs>
        <w:numPr>
          <w:ilvl w:val="1"/>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 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8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980" w:right="160" w:hanging="324"/>
        <w:spacing w:after="0" w:line="266" w:lineRule="auto"/>
        <w:tabs>
          <w:tab w:leader="none" w:pos="98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7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Date: April 22, 2026</w:t>
      </w:r>
    </w:p>
    <w:p>
      <w:pPr>
        <w:spacing w:after="0" w:line="225"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8"/>
          <w:szCs w:val="18"/>
          <w:color w:val="auto"/>
        </w:rPr>
        <w:t>By:</w:t>
        <w:tab/>
        <w:t>/s/ Haojun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17145</wp:posOffset>
            </wp:positionV>
            <wp:extent cx="28289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Name:Dr. Haojun Wang</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Financial Officer (principal financial and accounting</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70" w:name="page271"/>
    <w:bookmarkEnd w:id="270"/>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Pony AI Inc. (the “Company”) on Form 20-F for the year ended December 31, 2025 as filed with the Securities and Exchange Commission on the date hereof (the “Report”), I, Dr. Jun Peng, Chief Executive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660" w:hanging="328"/>
        <w:spacing w:after="0"/>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Date: April 22, 2026</w:t>
      </w:r>
    </w:p>
    <w:p>
      <w:pPr>
        <w:spacing w:after="0" w:line="225"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8"/>
          <w:szCs w:val="18"/>
          <w:color w:val="auto"/>
        </w:rPr>
        <w:t>By:</w:t>
        <w:tab/>
        <w:t>/s/ Jun Peng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17145</wp:posOffset>
            </wp:positionV>
            <wp:extent cx="282892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7">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Name:Dr. Jun Peng</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71" w:name="page272"/>
    <w:bookmarkEnd w:id="271"/>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Pony AI Inc. (the “Company”) on Form 20-F for the year ended December 31, 2025 as filed with the Securities and Exchange Commission on the date hereof (the “Report”), I, Dr. Haojun Wang, Chief Financial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660" w:hanging="328"/>
        <w:spacing w:after="0"/>
        <w:tabs>
          <w:tab w:leader="none" w:pos="6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Date: April 22, 2026</w:t>
      </w:r>
    </w:p>
    <w:p>
      <w:pPr>
        <w:spacing w:after="0" w:line="225" w:lineRule="exact"/>
        <w:rPr>
          <w:sz w:val="20"/>
          <w:szCs w:val="20"/>
          <w:color w:val="auto"/>
        </w:rPr>
      </w:pPr>
    </w:p>
    <w:p>
      <w:pPr>
        <w:ind w:left="4980"/>
        <w:spacing w:after="0"/>
        <w:tabs>
          <w:tab w:leader="none" w:pos="5440" w:val="left"/>
        </w:tabs>
        <w:rPr>
          <w:sz w:val="20"/>
          <w:szCs w:val="20"/>
          <w:color w:val="auto"/>
        </w:rPr>
      </w:pPr>
      <w:r>
        <w:rPr>
          <w:rFonts w:ascii="Times New Roman" w:cs="Times New Roman" w:eastAsia="Times New Roman" w:hAnsi="Times New Roman"/>
          <w:sz w:val="18"/>
          <w:szCs w:val="18"/>
          <w:color w:val="auto"/>
        </w:rPr>
        <w:t>By:</w:t>
        <w:tab/>
        <w:t>/s/ Haojun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17145</wp:posOffset>
            </wp:positionV>
            <wp:extent cx="282892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9">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Name:Dr. Haojun Wang</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Financial Officer (principal financial and accounting</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19"/>
          <w:szCs w:val="19"/>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5363845</wp:posOffset>
            </wp:positionH>
            <wp:positionV relativeFrom="paragraph">
              <wp:posOffset>154940</wp:posOffset>
            </wp:positionV>
            <wp:extent cx="934720" cy="7804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1">
                      <a:extLst>
                        <a:ext uri="{28A0092B-C50C-407E-A947-70E740481C1C}"/>
                      </a:extLst>
                    </a:blip>
                    <a:srcRect/>
                    <a:stretch>
                      <a:fillRect/>
                    </a:stretch>
                  </pic:blipFill>
                  <pic:spPr bwMode="auto">
                    <a:xfrm>
                      <a:off x="0" y="0"/>
                      <a:ext cx="93472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22,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Pony AI Inc.</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Walkers Corporate Limited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190 Elgin Avenue, George Town</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Grand Cayman KY1-9008, Cayman Islands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Sir/Madam,</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hereby consent to the reference of our firm’s name under the heading “Item10.E. Taxation” in Pony AI Inc.’s annual report on Form 20-F for the year ended December 31, 2025 (the “</w:t>
      </w:r>
      <w:r>
        <w:rPr>
          <w:rFonts w:ascii="Times New Roman" w:cs="Times New Roman" w:eastAsia="Times New Roman" w:hAnsi="Times New Roman"/>
          <w:sz w:val="17"/>
          <w:szCs w:val="17"/>
          <w:b w:val="1"/>
          <w:bCs w:val="1"/>
          <w:color w:val="auto"/>
        </w:rPr>
        <w:t>Annual Report</w:t>
      </w:r>
      <w:r>
        <w:rPr>
          <w:rFonts w:ascii="Times New Roman" w:cs="Times New Roman" w:eastAsia="Times New Roman" w:hAnsi="Times New Roman"/>
          <w:sz w:val="17"/>
          <w:szCs w:val="17"/>
          <w:color w:val="auto"/>
        </w:rPr>
        <w:t>”), which will be filed with the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on the date hereof, and further consent to the incorporation by reference of the summaries of our opinions under such caption into (i) the registration statement on Form S-8 (File No. 333-284886) pertaining to Pony AI Inc.’s 2016 Share Plan, as amended, and (ii) the registration statement on Form S-8 (File No. 333-294844) pertaining to Pony AI Inc.’s 2026 Share Scheme. We also consent to the filing of this consent letter with the SEC as an exhibit to the Annual Report.</w:t>
      </w:r>
    </w:p>
    <w:p>
      <w:pPr>
        <w:spacing w:after="0" w:line="1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Haiwen &amp;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Haiwen &amp;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 w:right="999" w:bottom="1440" w:gutter="0" w:footer="0" w:header="0"/>
        </w:sectPr>
      </w:pPr>
    </w:p>
    <w:bookmarkStart w:id="273" w:name="page274"/>
    <w:bookmarkEnd w:id="2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500380</wp:posOffset>
            </wp:positionV>
            <wp:extent cx="1225550" cy="2400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3">
                      <a:clrChange>
                        <a:clrFrom>
                          <a:srgbClr val="FFFFFF"/>
                        </a:clrFrom>
                        <a:clrTo>
                          <a:srgbClr val="FFFFFF">
                            <a:alpha val="0"/>
                          </a:srgbClr>
                        </a:clrTo>
                      </a:clrChange>
                      <a:extLst>
                        <a:ext uri="{28A0092B-C50C-407E-A947-70E740481C1C}"/>
                      </a:extLst>
                    </a:blip>
                    <a:srcRect/>
                    <a:stretch>
                      <a:fillRect/>
                    </a:stretch>
                  </pic:blipFill>
                  <pic:spPr bwMode="auto">
                    <a:xfrm>
                      <a:off x="0" y="0"/>
                      <a:ext cx="122555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60" w:right="220" w:firstLine="200"/>
        <w:spacing w:after="0" w:line="230" w:lineRule="auto"/>
        <w:rPr>
          <w:sz w:val="20"/>
          <w:szCs w:val="20"/>
          <w:color w:val="auto"/>
        </w:rPr>
      </w:pPr>
      <w:r>
        <w:rPr>
          <w:rFonts w:ascii="Times New Roman" w:cs="Times New Roman" w:eastAsia="Times New Roman" w:hAnsi="Times New Roman"/>
          <w:sz w:val="14"/>
          <w:szCs w:val="14"/>
          <w:b w:val="1"/>
          <w:bCs w:val="1"/>
          <w:color w:val="auto"/>
        </w:rPr>
        <w:t xml:space="preserve">Partners: </w:t>
      </w:r>
      <w:r>
        <w:rPr>
          <w:rFonts w:ascii="Times New Roman" w:cs="Times New Roman" w:eastAsia="Times New Roman" w:hAnsi="Times New Roman"/>
          <w:sz w:val="14"/>
          <w:szCs w:val="14"/>
          <w:color w:val="auto"/>
        </w:rPr>
        <w:t>Paul Aherne ** Brett Basdeo ***</w:t>
      </w:r>
    </w:p>
    <w:p>
      <w:pPr>
        <w:spacing w:after="0" w:line="1" w:lineRule="exact"/>
        <w:rPr>
          <w:sz w:val="20"/>
          <w:szCs w:val="20"/>
          <w:color w:val="auto"/>
        </w:rPr>
      </w:pPr>
    </w:p>
    <w:p>
      <w:pPr>
        <w:jc w:val="right"/>
        <w:ind w:left="80" w:right="360"/>
        <w:spacing w:after="0" w:line="221" w:lineRule="auto"/>
        <w:rPr>
          <w:sz w:val="20"/>
          <w:szCs w:val="20"/>
          <w:color w:val="auto"/>
        </w:rPr>
      </w:pPr>
      <w:r>
        <w:rPr>
          <w:rFonts w:ascii="Times New Roman" w:cs="Times New Roman" w:eastAsia="Times New Roman" w:hAnsi="Times New Roman"/>
          <w:sz w:val="14"/>
          <w:szCs w:val="14"/>
          <w:color w:val="auto"/>
        </w:rPr>
        <w:t>John Cartwright * John Crook *</w:t>
      </w:r>
    </w:p>
    <w:p>
      <w:pPr>
        <w:ind w:left="40"/>
        <w:spacing w:after="0" w:line="222" w:lineRule="auto"/>
        <w:rPr>
          <w:sz w:val="20"/>
          <w:szCs w:val="20"/>
          <w:color w:val="auto"/>
        </w:rPr>
      </w:pPr>
      <w:r>
        <w:rPr>
          <w:rFonts w:ascii="Times New Roman" w:cs="Times New Roman" w:eastAsia="Times New Roman" w:hAnsi="Times New Roman"/>
          <w:sz w:val="14"/>
          <w:szCs w:val="14"/>
          <w:color w:val="auto"/>
        </w:rPr>
        <w:t>Mark Cummings *****</w:t>
      </w:r>
    </w:p>
    <w:p>
      <w:pPr>
        <w:ind w:left="200"/>
        <w:spacing w:after="0" w:line="221" w:lineRule="auto"/>
        <w:rPr>
          <w:sz w:val="20"/>
          <w:szCs w:val="20"/>
          <w:color w:val="auto"/>
        </w:rPr>
      </w:pPr>
      <w:r>
        <w:rPr>
          <w:rFonts w:ascii="Times New Roman" w:cs="Times New Roman" w:eastAsia="Times New Roman" w:hAnsi="Times New Roman"/>
          <w:sz w:val="14"/>
          <w:szCs w:val="14"/>
          <w:color w:val="auto"/>
        </w:rPr>
        <w:t>Natalie Curtis ****</w:t>
      </w:r>
    </w:p>
    <w:p>
      <w:pPr>
        <w:ind w:left="240"/>
        <w:spacing w:after="0" w:line="221" w:lineRule="auto"/>
        <w:rPr>
          <w:sz w:val="20"/>
          <w:szCs w:val="20"/>
          <w:color w:val="auto"/>
        </w:rPr>
      </w:pPr>
      <w:r>
        <w:rPr>
          <w:rFonts w:ascii="Times New Roman" w:cs="Times New Roman" w:eastAsia="Times New Roman" w:hAnsi="Times New Roman"/>
          <w:sz w:val="14"/>
          <w:szCs w:val="14"/>
          <w:color w:val="auto"/>
        </w:rPr>
        <w:t>James Gaden ****</w:t>
      </w:r>
    </w:p>
    <w:p>
      <w:pPr>
        <w:ind w:left="440"/>
        <w:spacing w:after="0" w:line="222" w:lineRule="auto"/>
        <w:rPr>
          <w:sz w:val="20"/>
          <w:szCs w:val="20"/>
          <w:color w:val="auto"/>
        </w:rPr>
      </w:pPr>
      <w:r>
        <w:rPr>
          <w:rFonts w:ascii="Times New Roman" w:cs="Times New Roman" w:eastAsia="Times New Roman" w:hAnsi="Times New Roman"/>
          <w:sz w:val="14"/>
          <w:szCs w:val="14"/>
          <w:color w:val="auto"/>
        </w:rPr>
        <w:t>Kevin Ho ****</w:t>
      </w:r>
    </w:p>
    <w:p>
      <w:pPr>
        <w:ind w:left="400" w:right="280" w:hanging="197"/>
        <w:spacing w:after="0" w:line="221" w:lineRule="auto"/>
        <w:rPr>
          <w:sz w:val="20"/>
          <w:szCs w:val="20"/>
          <w:color w:val="auto"/>
        </w:rPr>
      </w:pPr>
      <w:r>
        <w:rPr>
          <w:rFonts w:ascii="Times New Roman" w:cs="Times New Roman" w:eastAsia="Times New Roman" w:hAnsi="Times New Roman"/>
          <w:sz w:val="14"/>
          <w:szCs w:val="14"/>
          <w:color w:val="auto"/>
        </w:rPr>
        <w:t>Kristen Kwok ** Wing Lam *</w:t>
      </w:r>
    </w:p>
    <w:p>
      <w:pPr>
        <w:ind w:left="220"/>
        <w:spacing w:after="0" w:line="222" w:lineRule="auto"/>
        <w:rPr>
          <w:sz w:val="20"/>
          <w:szCs w:val="20"/>
          <w:color w:val="auto"/>
        </w:rPr>
      </w:pPr>
      <w:r>
        <w:rPr>
          <w:rFonts w:ascii="Times New Roman" w:cs="Times New Roman" w:eastAsia="Times New Roman" w:hAnsi="Times New Roman"/>
          <w:sz w:val="14"/>
          <w:szCs w:val="14"/>
          <w:color w:val="auto"/>
        </w:rPr>
        <w:t>Thomas Pugh *****</w:t>
      </w:r>
    </w:p>
    <w:p>
      <w:pPr>
        <w:ind w:right="280" w:firstLine="75"/>
        <w:spacing w:after="0" w:line="221" w:lineRule="auto"/>
        <w:rPr>
          <w:sz w:val="20"/>
          <w:szCs w:val="20"/>
          <w:color w:val="auto"/>
        </w:rPr>
      </w:pPr>
      <w:r>
        <w:rPr>
          <w:rFonts w:ascii="Times New Roman" w:cs="Times New Roman" w:eastAsia="Times New Roman" w:hAnsi="Times New Roman"/>
          <w:sz w:val="14"/>
          <w:szCs w:val="14"/>
          <w:color w:val="auto"/>
        </w:rPr>
        <w:t>Andrew Randall ** Victoria Raymond*</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Wei Ching Teo******</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6" w:lineRule="exact"/>
        <w:rPr>
          <w:sz w:val="20"/>
          <w:szCs w:val="20"/>
          <w:color w:val="auto"/>
        </w:rPr>
      </w:pPr>
    </w:p>
    <w:p>
      <w:pPr>
        <w:ind w:left="140"/>
        <w:spacing w:after="0"/>
        <w:tabs>
          <w:tab w:leader="none" w:pos="5680" w:val="left"/>
        </w:tabs>
        <w:rPr>
          <w:sz w:val="20"/>
          <w:szCs w:val="20"/>
          <w:color w:val="auto"/>
        </w:rPr>
      </w:pPr>
      <w:r>
        <w:rPr>
          <w:rFonts w:ascii="Times New Roman" w:cs="Times New Roman" w:eastAsia="Times New Roman" w:hAnsi="Times New Roman"/>
          <w:sz w:val="18"/>
          <w:szCs w:val="18"/>
          <w:color w:val="auto"/>
        </w:rPr>
        <w:t>22 April 2026</w:t>
      </w:r>
      <w:r>
        <w:rPr>
          <w:sz w:val="20"/>
          <w:szCs w:val="20"/>
          <w:color w:val="auto"/>
        </w:rPr>
        <w:tab/>
      </w:r>
      <w:r>
        <w:rPr>
          <w:rFonts w:ascii="Times New Roman" w:cs="Times New Roman" w:eastAsia="Times New Roman" w:hAnsi="Times New Roman"/>
          <w:sz w:val="17"/>
          <w:szCs w:val="17"/>
          <w:color w:val="auto"/>
        </w:rPr>
        <w:t>Our Ref: MRC/KH/P3886-H29185</w:t>
      </w:r>
    </w:p>
    <w:p>
      <w:pPr>
        <w:spacing w:after="0" w:line="1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PONY AI INC.</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190 Elgin Avenue, George Town</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Grand Cayman KY1-9008</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Cayman Islands</w:t>
      </w:r>
    </w:p>
    <w:p>
      <w:pPr>
        <w:spacing w:after="0" w:line="200" w:lineRule="exact"/>
        <w:rPr>
          <w:sz w:val="20"/>
          <w:szCs w:val="20"/>
          <w:color w:val="auto"/>
        </w:rPr>
      </w:pPr>
    </w:p>
    <w:p>
      <w:pPr>
        <w:spacing w:after="0" w:line="2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Dear Sirs or Madam</w:t>
      </w:r>
    </w:p>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PONY AI INC.</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120" w:lineRule="exact"/>
        <w:rPr>
          <w:sz w:val="20"/>
          <w:szCs w:val="20"/>
          <w:color w:val="auto"/>
        </w:rPr>
      </w:pPr>
    </w:p>
    <w:p>
      <w:pPr>
        <w:jc w:val="both"/>
        <w:ind w:left="140" w:right="20"/>
        <w:spacing w:after="0" w:line="260" w:lineRule="auto"/>
        <w:rPr>
          <w:sz w:val="20"/>
          <w:szCs w:val="20"/>
          <w:color w:val="auto"/>
        </w:rPr>
      </w:pPr>
      <w:r>
        <w:rPr>
          <w:rFonts w:ascii="Times New Roman" w:cs="Times New Roman" w:eastAsia="Times New Roman" w:hAnsi="Times New Roman"/>
          <w:sz w:val="18"/>
          <w:szCs w:val="18"/>
          <w:color w:val="auto"/>
        </w:rPr>
        <w:t xml:space="preserve">We consent to the reference to our firm under the heading “Item 10.E. Taxation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Cayman Islands Taxation” in the Annual Report on Form 20-F of Pony AI Inc. for the fiscal year ended 31 December 2025 (the “</w:t>
      </w:r>
      <w:r>
        <w:rPr>
          <w:rFonts w:ascii="Times New Roman" w:cs="Times New Roman" w:eastAsia="Times New Roman" w:hAnsi="Times New Roman"/>
          <w:sz w:val="18"/>
          <w:szCs w:val="18"/>
          <w:b w:val="1"/>
          <w:bCs w:val="1"/>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which was filed with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Securities Exchange Act of 1934, as amended (the “</w:t>
      </w:r>
      <w:r>
        <w:rPr>
          <w:rFonts w:ascii="Times New Roman" w:cs="Times New Roman" w:eastAsia="Times New Roman" w:hAnsi="Times New Roman"/>
          <w:sz w:val="18"/>
          <w:szCs w:val="18"/>
          <w:b w:val="1"/>
          <w:bCs w:val="1"/>
          <w:color w:val="auto"/>
        </w:rPr>
        <w:t>Exchange Ac</w:t>
      </w:r>
      <w:r>
        <w:rPr>
          <w:rFonts w:ascii="Times New Roman" w:cs="Times New Roman" w:eastAsia="Times New Roman" w:hAnsi="Times New Roman"/>
          <w:sz w:val="18"/>
          <w:szCs w:val="18"/>
          <w:color w:val="auto"/>
        </w:rPr>
        <w:t>t”) in the month of April 2026.</w:t>
      </w:r>
    </w:p>
    <w:p>
      <w:pPr>
        <w:spacing w:after="0" w:line="183" w:lineRule="exact"/>
        <w:rPr>
          <w:sz w:val="20"/>
          <w:szCs w:val="20"/>
          <w:color w:val="auto"/>
        </w:rPr>
      </w:pPr>
    </w:p>
    <w:p>
      <w:pPr>
        <w:jc w:val="both"/>
        <w:ind w:left="140" w:right="2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Annual Report and to the reference to our name in the Annual Report and further consent to the incorporation by reference into the Registration Statement on Form S-8 (File No. 333-284886 and File No. 333-294844).</w:t>
      </w:r>
    </w:p>
    <w:p>
      <w:pPr>
        <w:spacing w:after="0" w:line="176" w:lineRule="exact"/>
        <w:rPr>
          <w:sz w:val="20"/>
          <w:szCs w:val="20"/>
          <w:color w:val="auto"/>
        </w:rPr>
      </w:pPr>
    </w:p>
    <w:p>
      <w:pPr>
        <w:jc w:val="both"/>
        <w:ind w:left="140" w:right="20"/>
        <w:spacing w:after="0" w:line="282" w:lineRule="auto"/>
        <w:rPr>
          <w:sz w:val="20"/>
          <w:szCs w:val="20"/>
          <w:color w:val="auto"/>
        </w:rPr>
      </w:pPr>
      <w:r>
        <w:rPr>
          <w:rFonts w:ascii="Times New Roman" w:cs="Times New Roman" w:eastAsia="Times New Roman" w:hAnsi="Times New Roman"/>
          <w:sz w:val="18"/>
          <w:szCs w:val="18"/>
          <w:color w:val="auto"/>
        </w:rPr>
        <w:t>In giving such consent, we do not thereby admit that we come within the category of persons whose consent is required under the Exchange Act, or the Rules and Regulations of the Commission thereunder.</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 WALKERS (HONG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17145</wp:posOffset>
            </wp:positionV>
            <wp:extent cx="514350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WALKERS (HONG KONG)</w:t>
      </w:r>
    </w:p>
    <w:p>
      <w:pPr>
        <w:spacing w:after="0" w:line="200" w:lineRule="exact"/>
        <w:rPr>
          <w:sz w:val="20"/>
          <w:szCs w:val="20"/>
          <w:color w:val="auto"/>
        </w:rPr>
      </w:pPr>
    </w:p>
    <w:p>
      <w:pPr>
        <w:sectPr>
          <w:pgSz w:w="11900" w:h="16838" w:orient="portrait"/>
          <w:cols w:equalWidth="0" w:num="2">
            <w:col w:w="1480" w:space="160"/>
            <w:col w:w="8240"/>
          </w:cols>
          <w:pgMar w:left="1020" w:top="33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Walkers (Hong Kong)</w:t>
      </w:r>
    </w:p>
    <w:p>
      <w:pPr>
        <w:spacing w:after="0" w:line="69" w:lineRule="exact"/>
        <w:rPr>
          <w:sz w:val="20"/>
          <w:szCs w:val="20"/>
          <w:color w:val="auto"/>
        </w:rPr>
      </w:pPr>
    </w:p>
    <w:p>
      <w:pPr>
        <w:jc w:val="right"/>
        <w:spacing w:after="0" w:line="171" w:lineRule="exact"/>
        <w:rPr>
          <w:sz w:val="20"/>
          <w:szCs w:val="20"/>
          <w:color w:val="auto"/>
        </w:rPr>
      </w:pPr>
      <w:r>
        <w:rPr>
          <w:rFonts w:ascii="PMingLiU" w:cs="PMingLiU" w:eastAsia="PMingLiU" w:hAnsi="PMingLiU"/>
          <w:sz w:val="14"/>
          <w:szCs w:val="14"/>
          <w:color w:val="auto"/>
        </w:rPr>
        <w:t>滙嘉律師事務所</w:t>
      </w:r>
      <w:r>
        <w:rPr>
          <w:rFonts w:ascii="Times New Roman" w:cs="Times New Roman" w:eastAsia="Times New Roman" w:hAnsi="Times New Roman"/>
          <w:sz w:val="14"/>
          <w:szCs w:val="14"/>
          <w:b w:val="1"/>
          <w:bCs w:val="1"/>
          <w:color w:val="auto"/>
        </w:rPr>
        <w:t xml:space="preserve"> (</w:t>
      </w:r>
      <w:r>
        <w:rPr>
          <w:rFonts w:ascii="PMingLiU" w:cs="PMingLiU" w:eastAsia="PMingLiU" w:hAnsi="PMingLiU"/>
          <w:sz w:val="14"/>
          <w:szCs w:val="14"/>
          <w:color w:val="auto"/>
          <w:highlight w:val="black"/>
        </w:rPr>
        <w:t>香港</w:t>
      </w:r>
      <w:r>
        <w:rPr>
          <w:rFonts w:ascii="Times New Roman" w:cs="Times New Roman" w:eastAsia="Times New Roman" w:hAnsi="Times New Roman"/>
          <w:sz w:val="14"/>
          <w:szCs w:val="14"/>
          <w:b w:val="1"/>
          <w:bCs w:val="1"/>
          <w:color w:val="auto"/>
        </w:rPr>
        <w:t>)</w:t>
      </w:r>
    </w:p>
    <w:p>
      <w:pPr>
        <w:spacing w:after="0" w:line="7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15th Floor, Alexandra House, 18 Chater Road, Central, Hong Kong</w:t>
      </w:r>
    </w:p>
    <w:p>
      <w:pPr>
        <w:spacing w:after="0" w:line="55"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4"/>
          <w:szCs w:val="14"/>
          <w:color w:val="auto"/>
        </w:rPr>
        <w:t>T +852 2284 4566 F +852 2284 4560</w:t>
      </w:r>
    </w:p>
    <w:p>
      <w:pPr>
        <w:spacing w:after="0" w:line="136" w:lineRule="exact"/>
        <w:rPr>
          <w:sz w:val="20"/>
          <w:szCs w:val="20"/>
          <w:color w:val="auto"/>
        </w:rPr>
      </w:pPr>
    </w:p>
    <w:p>
      <w:pPr>
        <w:jc w:val="right"/>
        <w:ind w:left="2900"/>
        <w:spacing w:after="0" w:line="483" w:lineRule="auto"/>
        <w:rPr>
          <w:sz w:val="20"/>
          <w:szCs w:val="20"/>
          <w:color w:val="auto"/>
        </w:rPr>
      </w:pPr>
      <w:r>
        <w:rPr>
          <w:rFonts w:ascii="Times New Roman" w:cs="Times New Roman" w:eastAsia="Times New Roman" w:hAnsi="Times New Roman"/>
          <w:sz w:val="14"/>
          <w:szCs w:val="14"/>
          <w:color w:val="auto"/>
        </w:rPr>
        <w:t>Bermuda | British Virgin Islands | Cayman Islands | Dubai | Guernsey | Hong Kong | Ireland | Jersey | London | Singapore *England and Wales; **BVI; ***Cayman Islands; ****New South Wales (Australia); *****Bermuda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434340</wp:posOffset>
            </wp:positionV>
            <wp:extent cx="629221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20" w:top="333" w:right="999" w:bottom="1440" w:gutter="0" w:footer="0" w:header="0"/>
          <w:type w:val="continuous"/>
        </w:sectPr>
      </w:pPr>
    </w:p>
    <w:bookmarkStart w:id="274" w:name="page275"/>
    <w:bookmarkEnd w:id="274"/>
    <w:p>
      <w:pPr>
        <w:jc w:val="right"/>
        <w:spacing w:after="0"/>
        <w:rPr>
          <w:sz w:val="20"/>
          <w:szCs w:val="20"/>
          <w:color w:val="auto"/>
        </w:rPr>
      </w:pPr>
      <w:r>
        <w:rPr>
          <w:rFonts w:ascii="Times New Roman" w:cs="Times New Roman" w:eastAsia="Times New Roman" w:hAnsi="Times New Roman"/>
          <w:sz w:val="20"/>
          <w:szCs w:val="20"/>
          <w:b w:val="1"/>
          <w:bCs w:val="1"/>
          <w:color w:val="auto"/>
        </w:rPr>
        <w:t>Exhibit 15.3</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2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 No. 333-284886 and No. 333-294844 on Form S-8 of our reports dated April 22, 2026, relating to the financial statements of Pony AI Inc. and the effectiveness of Pony AI Inc.'s internal control over financial reporting, appearing in this Annual Report on Form 20-F for the year ended December 31,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Touche Tohmatsu Certified Public Accountants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Deloitte Touche Tohmatsu Certified Public Accountants 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Beijing, the People's Republic of China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4"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SimSun">
    <w:panose1 w:val="02010600030101010101"/>
    <w:charset w:val="86"/>
    <w:family w:val="auto"/>
    <w:pitch w:val="variable"/>
    <w:sig w:usb0="00000003" w:usb1="288F0000" w:usb2="00000006" w:usb3="00000000" w:csb0="00040001" w:csb1="0000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7F01579B"/>
    <w:multiLevelType w:val="hybridMultilevel"/>
    <w:lvl w:ilvl="0">
      <w:lvlJc w:val="left"/>
      <w:lvlText w:val="☐"/>
      <w:numFmt w:val="bullet"/>
      <w:start w:val="1"/>
    </w:lvl>
  </w:abstractNum>
  <w:abstractNum w:abstractNumId="1">
    <w:nsid w:val="49DA307D"/>
    <w:multiLevelType w:val="hybridMultilevel"/>
    <w:lvl w:ilvl="0">
      <w:lvlJc w:val="left"/>
      <w:lvlText w:val="☒"/>
      <w:numFmt w:val="bullet"/>
      <w:start w:val="1"/>
    </w:lvl>
  </w:abstractNum>
  <w:abstractNum w:abstractNumId="2">
    <w:nsid w:val="7055A5F5"/>
    <w:multiLevelType w:val="hybridMultilevel"/>
    <w:lvl w:ilvl="0">
      <w:lvlJc w:val="left"/>
      <w:lvlText w:val="☐"/>
      <w:numFmt w:val="bullet"/>
      <w:start w:val="1"/>
    </w:lvl>
  </w:abstractNum>
  <w:abstractNum w:abstractNumId="3">
    <w:nsid w:val="5FB8370B"/>
    <w:multiLevelType w:val="hybridMultilevel"/>
    <w:lvl w:ilvl="0">
      <w:lvlJc w:val="left"/>
      <w:lvlText w:val="*"/>
      <w:numFmt w:val="bullet"/>
      <w:start w:val="1"/>
    </w:lvl>
  </w:abstractNum>
  <w:abstractNum w:abstractNumId="4">
    <w:nsid w:val="50801EE1"/>
    <w:multiLevelType w:val="hybridMultilevel"/>
    <w:lvl w:ilvl="0">
      <w:lvlJc w:val="left"/>
      <w:lvlText w:val="†"/>
      <w:numFmt w:val="bullet"/>
      <w:start w:val="1"/>
    </w:lvl>
  </w:abstractNum>
  <w:abstractNum w:abstractNumId="5">
    <w:nsid w:val="488AC1A"/>
    <w:multiLevelType w:val="hybridMultilevel"/>
    <w:lvl w:ilvl="0">
      <w:lvlJc w:val="left"/>
      <w:lvlText w:val="●"/>
      <w:numFmt w:val="bullet"/>
      <w:start w:val="1"/>
    </w:lvl>
  </w:abstractNum>
  <w:abstractNum w:abstractNumId="6">
    <w:nsid w:val="5FB8011C"/>
    <w:multiLevelType w:val="hybridMultilevel"/>
    <w:lvl w:ilvl="0">
      <w:lvlJc w:val="left"/>
      <w:lvlText w:val="●"/>
      <w:numFmt w:val="bullet"/>
      <w:start w:val="1"/>
    </w:lvl>
  </w:abstractNum>
  <w:abstractNum w:abstractNumId="7">
    <w:nsid w:val="6AA78F7F"/>
    <w:multiLevelType w:val="hybridMultilevel"/>
    <w:lvl w:ilvl="0">
      <w:lvlJc w:val="left"/>
      <w:lvlText w:val="●"/>
      <w:numFmt w:val="bullet"/>
      <w:start w:val="1"/>
    </w:lvl>
  </w:abstractNum>
  <w:abstractNum w:abstractNumId="8">
    <w:nsid w:val="7672BD23"/>
    <w:multiLevelType w:val="hybridMultilevel"/>
    <w:lvl w:ilvl="0">
      <w:lvlJc w:val="left"/>
      <w:lvlText w:val="●"/>
      <w:numFmt w:val="bullet"/>
      <w:start w:val="1"/>
    </w:lvl>
  </w:abstractNum>
  <w:abstractNum w:abstractNumId="9">
    <w:nsid w:val="6FC75AF8"/>
    <w:multiLevelType w:val="hybridMultilevel"/>
    <w:lvl w:ilvl="0">
      <w:lvlJc w:val="left"/>
      <w:lvlText w:val="(%1)"/>
      <w:numFmt w:val="decimal"/>
      <w:start w:val="1"/>
    </w:lvl>
  </w:abstractNum>
  <w:abstractNum w:abstractNumId="10">
    <w:nsid w:val="6A5F7029"/>
    <w:multiLevelType w:val="hybridMultilevel"/>
    <w:lvl w:ilvl="0">
      <w:lvlJc w:val="left"/>
      <w:lvlText w:val="(%1)"/>
      <w:numFmt w:val="decimal"/>
      <w:start w:val="1"/>
    </w:lvl>
  </w:abstractNum>
  <w:abstractNum w:abstractNumId="11">
    <w:nsid w:val="7D5E18F8"/>
    <w:multiLevelType w:val="hybridMultilevel"/>
    <w:lvl w:ilvl="0">
      <w:lvlJc w:val="left"/>
      <w:lvlText w:val="(%1)"/>
      <w:numFmt w:val="decimal"/>
      <w:start w:val="1"/>
    </w:lvl>
  </w:abstractNum>
  <w:abstractNum w:abstractNumId="12">
    <w:nsid w:val="5F3534A4"/>
    <w:multiLevelType w:val="hybridMultilevel"/>
    <w:lvl w:ilvl="0">
      <w:lvlJc w:val="left"/>
      <w:lvlText w:val="(%1)"/>
      <w:numFmt w:val="decimal"/>
      <w:start w:val="1"/>
    </w:lvl>
  </w:abstractNum>
  <w:abstractNum w:abstractNumId="13">
    <w:nsid w:val="73A1821B"/>
    <w:multiLevelType w:val="hybridMultilevel"/>
    <w:lvl w:ilvl="0">
      <w:lvlJc w:val="left"/>
      <w:lvlText w:val="·"/>
      <w:numFmt w:val="bullet"/>
      <w:start w:val="1"/>
    </w:lvl>
  </w:abstractNum>
  <w:abstractNum w:abstractNumId="14">
    <w:nsid w:val="7DE67713"/>
    <w:multiLevelType w:val="hybridMultilevel"/>
    <w:lvl w:ilvl="0">
      <w:lvlJc w:val="left"/>
      <w:lvlText w:val="·"/>
      <w:numFmt w:val="bullet"/>
      <w:start w:val="1"/>
    </w:lvl>
  </w:abstractNum>
  <w:abstractNum w:abstractNumId="15">
    <w:nsid w:val="555C55B5"/>
    <w:multiLevelType w:val="hybridMultilevel"/>
    <w:lvl w:ilvl="0">
      <w:lvlJc w:val="left"/>
      <w:lvlText w:val="·"/>
      <w:numFmt w:val="bullet"/>
      <w:start w:val="1"/>
    </w:lvl>
  </w:abstractNum>
  <w:abstractNum w:abstractNumId="16">
    <w:nsid w:val="3FA62ACA"/>
    <w:multiLevelType w:val="hybridMultilevel"/>
    <w:lvl w:ilvl="0">
      <w:lvlJc w:val="left"/>
      <w:lvlText w:val="·"/>
      <w:numFmt w:val="bullet"/>
      <w:start w:val="1"/>
    </w:lvl>
  </w:abstractNum>
  <w:abstractNum w:abstractNumId="17">
    <w:nsid w:val="14FCE74E"/>
    <w:multiLevelType w:val="hybridMultilevel"/>
    <w:lvl w:ilvl="0">
      <w:lvlJc w:val="left"/>
      <w:lvlText w:val="·"/>
      <w:numFmt w:val="bullet"/>
      <w:start w:val="1"/>
    </w:lvl>
  </w:abstractNum>
  <w:abstractNum w:abstractNumId="18">
    <w:nsid w:val="6A3DD3E8"/>
    <w:multiLevelType w:val="hybridMultilevel"/>
    <w:lvl w:ilvl="0">
      <w:lvlJc w:val="left"/>
      <w:lvlText w:val="·"/>
      <w:numFmt w:val="bullet"/>
      <w:start w:val="1"/>
    </w:lvl>
  </w:abstractNum>
  <w:abstractNum w:abstractNumId="19">
    <w:nsid w:val="71C91298"/>
    <w:multiLevelType w:val="hybridMultilevel"/>
    <w:lvl w:ilvl="0">
      <w:lvlJc w:val="left"/>
      <w:lvlText w:val="·"/>
      <w:numFmt w:val="bullet"/>
      <w:start w:val="1"/>
    </w:lvl>
  </w:abstractNum>
  <w:abstractNum w:abstractNumId="20">
    <w:nsid w:val="9DAF632"/>
    <w:multiLevelType w:val="hybridMultilevel"/>
    <w:lvl w:ilvl="0">
      <w:lvlJc w:val="left"/>
      <w:lvlText w:val="%1."/>
      <w:numFmt w:val="decimal"/>
      <w:start w:val="4"/>
    </w:lvl>
  </w:abstractNum>
  <w:abstractNum w:abstractNumId="21">
    <w:nsid w:val="53299938"/>
    <w:multiLevelType w:val="hybridMultilevel"/>
    <w:lvl w:ilvl="0">
      <w:lvlJc w:val="left"/>
      <w:lvlText w:val="·"/>
      <w:numFmt w:val="bullet"/>
      <w:start w:val="1"/>
    </w:lvl>
  </w:abstractNum>
  <w:abstractNum w:abstractNumId="22">
    <w:nsid w:val="1FBFE8E0"/>
    <w:multiLevelType w:val="hybridMultilevel"/>
    <w:lvl w:ilvl="0">
      <w:lvlJc w:val="left"/>
      <w:lvlText w:val="·"/>
      <w:numFmt w:val="bullet"/>
      <w:start w:val="1"/>
    </w:lvl>
  </w:abstractNum>
  <w:abstractNum w:abstractNumId="23">
    <w:nsid w:val="5092CA79"/>
    <w:multiLevelType w:val="hybridMultilevel"/>
    <w:lvl w:ilvl="0">
      <w:lvlJc w:val="left"/>
      <w:lvlText w:val="(%1)"/>
      <w:numFmt w:val="lowerRoman"/>
      <w:start w:val="3"/>
    </w:lvl>
  </w:abstractNum>
  <w:abstractNum w:abstractNumId="24">
    <w:nsid w:val="1D545C4D"/>
    <w:multiLevelType w:val="hybridMultilevel"/>
    <w:lvl w:ilvl="0">
      <w:lvlJc w:val="left"/>
      <w:lvlText w:val="(%1)"/>
      <w:numFmt w:val="lowerRoman"/>
      <w:start w:val="2"/>
    </w:lvl>
  </w:abstractNum>
  <w:abstractNum w:abstractNumId="25">
    <w:nsid w:val="59ADEA3D"/>
    <w:multiLevelType w:val="hybridMultilevel"/>
    <w:lvl w:ilvl="0">
      <w:lvlJc w:val="left"/>
      <w:lvlText w:val="%1."/>
      <w:numFmt w:val="decimal"/>
      <w:start w:val="9"/>
    </w:lvl>
  </w:abstractNum>
  <w:abstractNum w:abstractNumId="26">
    <w:nsid w:val="288F1A34"/>
    <w:multiLevelType w:val="hybridMultilevel"/>
    <w:lvl w:ilvl="0">
      <w:lvlJc w:val="left"/>
      <w:lvlText w:val="·"/>
      <w:numFmt w:val="bullet"/>
      <w:start w:val="1"/>
    </w:lvl>
  </w:abstractNum>
  <w:abstractNum w:abstractNumId="27">
    <w:nsid w:val="2A155DBC"/>
    <w:multiLevelType w:val="hybridMultilevel"/>
    <w:lvl w:ilvl="0">
      <w:lvlJc w:val="left"/>
      <w:lvlText w:val="·"/>
      <w:numFmt w:val="bullet"/>
      <w:start w:val="1"/>
    </w:lvl>
  </w:abstractNum>
  <w:abstractNum w:abstractNumId="28">
    <w:nsid w:val="1D9F6E5F"/>
    <w:multiLevelType w:val="hybridMultilevel"/>
    <w:lvl w:ilvl="0">
      <w:lvlJc w:val="left"/>
      <w:lvlText w:val="·"/>
      <w:numFmt w:val="bullet"/>
      <w:start w:val="1"/>
    </w:lvl>
  </w:abstractNum>
  <w:abstractNum w:abstractNumId="29">
    <w:nsid w:val="97E1B4E"/>
    <w:multiLevelType w:val="hybridMultilevel"/>
    <w:lvl w:ilvl="0">
      <w:lvlJc w:val="left"/>
      <w:lvlText w:val="·"/>
      <w:numFmt w:val="bullet"/>
      <w:start w:val="1"/>
    </w:lvl>
  </w:abstractNum>
  <w:abstractNum w:abstractNumId="30">
    <w:nsid w:val="51088277"/>
    <w:multiLevelType w:val="hybridMultilevel"/>
    <w:lvl w:ilvl="0">
      <w:lvlJc w:val="left"/>
      <w:lvlText w:val="·"/>
      <w:numFmt w:val="bullet"/>
      <w:start w:val="1"/>
    </w:lvl>
  </w:abstractNum>
  <w:abstractNum w:abstractNumId="31">
    <w:nsid w:val="1CA0C5FA"/>
    <w:multiLevelType w:val="hybridMultilevel"/>
    <w:lvl w:ilvl="0">
      <w:lvlJc w:val="left"/>
      <w:lvlText w:val="·"/>
      <w:numFmt w:val="bullet"/>
      <w:start w:val="1"/>
    </w:lvl>
  </w:abstractNum>
  <w:abstractNum w:abstractNumId="32">
    <w:nsid w:val="53584BCB"/>
    <w:multiLevelType w:val="hybridMultilevel"/>
    <w:lvl w:ilvl="0">
      <w:lvlJc w:val="left"/>
      <w:lvlText w:val="·"/>
      <w:numFmt w:val="bullet"/>
      <w:start w:val="1"/>
    </w:lvl>
  </w:abstractNum>
  <w:abstractNum w:abstractNumId="33">
    <w:nsid w:val="415E286C"/>
    <w:multiLevelType w:val="hybridMultilevel"/>
    <w:lvl w:ilvl="0">
      <w:lvlJc w:val="left"/>
      <w:lvlText w:val="·"/>
      <w:numFmt w:val="bullet"/>
      <w:start w:val="1"/>
    </w:lvl>
  </w:abstractNum>
  <w:abstractNum w:abstractNumId="34">
    <w:nsid w:val="7C58FD05"/>
    <w:multiLevelType w:val="hybridMultilevel"/>
    <w:lvl w:ilvl="0">
      <w:lvlJc w:val="left"/>
      <w:lvlText w:val="·"/>
      <w:numFmt w:val="bullet"/>
      <w:start w:val="1"/>
    </w:lvl>
  </w:abstractNum>
  <w:abstractNum w:abstractNumId="35">
    <w:nsid w:val="23D86AAC"/>
    <w:multiLevelType w:val="hybridMultilevel"/>
    <w:lvl w:ilvl="0">
      <w:lvlJc w:val="left"/>
      <w:lvlText w:val="·"/>
      <w:numFmt w:val="bullet"/>
      <w:start w:val="1"/>
    </w:lvl>
  </w:abstractNum>
  <w:abstractNum w:abstractNumId="36">
    <w:nsid w:val="45E6D486"/>
    <w:multiLevelType w:val="hybridMultilevel"/>
    <w:lvl w:ilvl="0">
      <w:lvlJc w:val="left"/>
      <w:lvlText w:val="·"/>
      <w:numFmt w:val="bullet"/>
      <w:start w:val="1"/>
    </w:lvl>
  </w:abstractNum>
  <w:abstractNum w:abstractNumId="37">
    <w:nsid w:val="5C10FE21"/>
    <w:multiLevelType w:val="hybridMultilevel"/>
    <w:lvl w:ilvl="0">
      <w:lvlJc w:val="left"/>
      <w:lvlText w:val="·"/>
      <w:numFmt w:val="bullet"/>
      <w:start w:val="1"/>
    </w:lvl>
  </w:abstractNum>
  <w:abstractNum w:abstractNumId="38">
    <w:nsid w:val="E7FFA2B"/>
    <w:multiLevelType w:val="hybridMultilevel"/>
    <w:lvl w:ilvl="0">
      <w:lvlJc w:val="left"/>
      <w:lvlText w:val="●"/>
      <w:numFmt w:val="bullet"/>
      <w:start w:val="1"/>
    </w:lvl>
  </w:abstractNum>
  <w:abstractNum w:abstractNumId="39">
    <w:nsid w:val="3C5991AA"/>
    <w:multiLevelType w:val="hybridMultilevel"/>
    <w:lvl w:ilvl="0">
      <w:lvlJc w:val="left"/>
      <w:lvlText w:val="·"/>
      <w:numFmt w:val="bullet"/>
      <w:start w:val="1"/>
    </w:lvl>
  </w:abstractNum>
  <w:abstractNum w:abstractNumId="40">
    <w:nsid w:val="4BD8591A"/>
    <w:multiLevelType w:val="hybridMultilevel"/>
    <w:lvl w:ilvl="0">
      <w:lvlJc w:val="left"/>
      <w:lvlText w:val="·"/>
      <w:numFmt w:val="bullet"/>
      <w:start w:val="1"/>
    </w:lvl>
  </w:abstractNum>
  <w:abstractNum w:abstractNumId="41">
    <w:nsid w:val="78DF6A55"/>
    <w:multiLevelType w:val="hybridMultilevel"/>
    <w:lvl w:ilvl="0">
      <w:lvlJc w:val="left"/>
      <w:lvlText w:val="●"/>
      <w:numFmt w:val="bullet"/>
      <w:start w:val="1"/>
    </w:lvl>
  </w:abstractNum>
  <w:abstractNum w:abstractNumId="42">
    <w:nsid w:val="39B7AAA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3">
    <w:nsid w:val="2B0D8DBE"/>
    <w:multiLevelType w:val="hybridMultilevel"/>
    <w:lvl w:ilvl="0">
      <w:lvlJc w:val="left"/>
      <w:lvlText w:val="·"/>
      <w:numFmt w:val="bullet"/>
      <w:start w:val="1"/>
    </w:lvl>
  </w:abstractNum>
  <w:abstractNum w:abstractNumId="44">
    <w:nsid w:val="6C80EC70"/>
    <w:multiLevelType w:val="hybridMultilevel"/>
    <w:lvl w:ilvl="0">
      <w:lvlJc w:val="left"/>
      <w:lvlText w:val="·"/>
      <w:numFmt w:val="bullet"/>
      <w:start w:val="1"/>
    </w:lvl>
  </w:abstractNum>
  <w:abstractNum w:abstractNumId="45">
    <w:nsid w:val="379E21B5"/>
    <w:multiLevelType w:val="hybridMultilevel"/>
    <w:lvl w:ilvl="0">
      <w:lvlJc w:val="left"/>
      <w:lvlText w:val="·"/>
      <w:numFmt w:val="bullet"/>
      <w:start w:val="1"/>
    </w:lvl>
  </w:abstractNum>
  <w:abstractNum w:abstractNumId="46">
    <w:nsid w:val="69E373"/>
    <w:multiLevelType w:val="hybridMultilevel"/>
    <w:lvl w:ilvl="0">
      <w:lvlJc w:val="left"/>
      <w:lvlText w:val="(%1)"/>
      <w:numFmt w:val="lowerRoman"/>
      <w:start w:val="2"/>
    </w:lvl>
  </w:abstractNum>
  <w:abstractNum w:abstractNumId="47">
    <w:nsid w:val="2C27173B"/>
    <w:multiLevelType w:val="hybridMultilevel"/>
    <w:lvl w:ilvl="0">
      <w:lvlJc w:val="left"/>
      <w:lvlText w:val="(%1)"/>
      <w:numFmt w:val="decimal"/>
      <w:start w:val="1"/>
    </w:lvl>
  </w:abstractNum>
  <w:abstractNum w:abstractNumId="48">
    <w:nsid w:val="4C9B0904"/>
    <w:multiLevelType w:val="hybridMultilevel"/>
    <w:lvl w:ilvl="0">
      <w:lvlJc w:val="left"/>
      <w:lvlText w:val="·"/>
      <w:numFmt w:val="bullet"/>
      <w:start w:val="1"/>
    </w:lvl>
  </w:abstractNum>
  <w:abstractNum w:abstractNumId="49">
    <w:nsid w:val="6AA7B75C"/>
    <w:multiLevelType w:val="hybridMultilevel"/>
    <w:lvl w:ilvl="0">
      <w:lvlJc w:val="left"/>
      <w:lvlText w:val="·"/>
      <w:numFmt w:val="bullet"/>
      <w:start w:val="1"/>
    </w:lvl>
  </w:abstractNum>
  <w:abstractNum w:abstractNumId="50">
    <w:nsid w:val="1DF029D3"/>
    <w:multiLevelType w:val="hybridMultilevel"/>
    <w:lvl w:ilvl="0">
      <w:lvlJc w:val="left"/>
      <w:lvlText w:val="(%1)"/>
      <w:numFmt w:val="decimal"/>
      <w:start w:val="1"/>
    </w:lvl>
  </w:abstractNum>
  <w:abstractNum w:abstractNumId="51">
    <w:nsid w:val="5675FF36"/>
    <w:multiLevelType w:val="hybridMultilevel"/>
    <w:lvl w:ilvl="0">
      <w:lvlJc w:val="left"/>
      <w:lvlText w:val="(%1)"/>
      <w:numFmt w:val="lowerLetter"/>
      <w:start w:val="1"/>
    </w:lvl>
  </w:abstractNum>
  <w:abstractNum w:abstractNumId="52">
    <w:nsid w:val="3DD15094"/>
    <w:multiLevelType w:val="hybridMultilevel"/>
    <w:lvl w:ilvl="0">
      <w:lvlJc w:val="left"/>
      <w:lvlText w:val="(%1)"/>
      <w:numFmt w:val="decimal"/>
      <w:start w:val="1"/>
    </w:lvl>
  </w:abstractNum>
  <w:abstractNum w:abstractNumId="53">
    <w:nsid w:val="3DB012B3"/>
    <w:multiLevelType w:val="hybridMultilevel"/>
    <w:lvl w:ilvl="0">
      <w:lvlJc w:val="left"/>
      <w:lvlText w:val="●"/>
      <w:numFmt w:val="bullet"/>
      <w:start w:val="1"/>
    </w:lvl>
  </w:abstractNum>
  <w:abstractNum w:abstractNumId="54">
    <w:nsid w:val="2708C9AF"/>
    <w:multiLevelType w:val="hybridMultilevel"/>
    <w:lvl w:ilvl="0">
      <w:lvlJc w:val="left"/>
      <w:lvlText w:val="●"/>
      <w:numFmt w:val="bullet"/>
      <w:start w:val="1"/>
    </w:lvl>
  </w:abstractNum>
  <w:abstractNum w:abstractNumId="55">
    <w:nsid w:val="5B25ACE2"/>
    <w:multiLevelType w:val="hybridMultilevel"/>
    <w:lvl w:ilvl="0">
      <w:lvlJc w:val="left"/>
      <w:lvlText w:val="●"/>
      <w:numFmt w:val="bullet"/>
      <w:start w:val="1"/>
    </w:lvl>
  </w:abstractNum>
  <w:abstractNum w:abstractNumId="56">
    <w:nsid w:val="175DFCF0"/>
    <w:multiLevelType w:val="hybridMultilevel"/>
    <w:lvl w:ilvl="0">
      <w:lvlJc w:val="left"/>
      <w:lvlText w:val="●"/>
      <w:numFmt w:val="bullet"/>
      <w:start w:val="1"/>
    </w:lvl>
  </w:abstractNum>
  <w:abstractNum w:abstractNumId="57">
    <w:nsid w:val="4F97E3E4"/>
    <w:multiLevelType w:val="hybridMultilevel"/>
    <w:lvl w:ilvl="0">
      <w:lvlJc w:val="left"/>
      <w:lvlText w:val="●"/>
      <w:numFmt w:val="bullet"/>
      <w:start w:val="1"/>
    </w:lvl>
  </w:abstractNum>
  <w:abstractNum w:abstractNumId="58">
    <w:nsid w:val="53B0A9E"/>
    <w:multiLevelType w:val="hybridMultilevel"/>
    <w:lvl w:ilvl="0">
      <w:lvlJc w:val="left"/>
      <w:lvlText w:val="(%1)"/>
      <w:numFmt w:val="lowerRoman"/>
      <w:start w:val="3"/>
    </w:lvl>
  </w:abstractNum>
  <w:abstractNum w:abstractNumId="59">
    <w:nsid w:val="34FD6B4F"/>
    <w:multiLevelType w:val="hybridMultilevel"/>
    <w:lvl w:ilvl="0">
      <w:lvlJc w:val="left"/>
      <w:lvlText w:val="●"/>
      <w:numFmt w:val="bullet"/>
      <w:start w:val="1"/>
    </w:lvl>
  </w:abstractNum>
  <w:abstractNum w:abstractNumId="60">
    <w:nsid w:val="5915FF32"/>
    <w:multiLevelType w:val="hybridMultilevel"/>
    <w:lvl w:ilvl="0">
      <w:lvlJc w:val="left"/>
      <w:lvlText w:val="*"/>
      <w:numFmt w:val="bullet"/>
      <w:start w:val="1"/>
    </w:lvl>
  </w:abstractNum>
  <w:abstractNum w:abstractNumId="61">
    <w:nsid w:val="56438D15"/>
    <w:multiLevelType w:val="hybridMultilevel"/>
    <w:lvl w:ilvl="0">
      <w:lvlJc w:val="left"/>
      <w:lvlText w:val="†"/>
      <w:numFmt w:val="bullet"/>
      <w:start w:val="1"/>
    </w:lvl>
  </w:abstractNum>
  <w:abstractNum w:abstractNumId="62">
    <w:nsid w:val="519E3149"/>
    <w:multiLevelType w:val="hybridMultilevel"/>
    <w:lvl w:ilvl="0">
      <w:lvlJc w:val="left"/>
      <w:lvlText w:val="(%1)"/>
      <w:numFmt w:val="decimal"/>
      <w:start w:val="1"/>
    </w:lvl>
  </w:abstractNum>
  <w:abstractNum w:abstractNumId="63">
    <w:nsid w:val="2C6E4AFD"/>
    <w:multiLevelType w:val="hybridMultilevel"/>
    <w:lvl w:ilvl="0">
      <w:lvlJc w:val="left"/>
      <w:lvlText w:val="(%1)"/>
      <w:numFmt w:val="decimal"/>
      <w:start w:val="2"/>
    </w:lvl>
  </w:abstractNum>
  <w:abstractNum w:abstractNumId="64">
    <w:nsid w:val="17A1B582"/>
    <w:multiLevelType w:val="hybridMultilevel"/>
    <w:lvl w:ilvl="0">
      <w:lvlJc w:val="left"/>
      <w:lvlText w:val="(%1)"/>
      <w:numFmt w:val="decimal"/>
      <w:start w:val="1"/>
    </w:lvl>
  </w:abstractNum>
  <w:abstractNum w:abstractNumId="65">
    <w:nsid w:val="4DF72E4E"/>
    <w:multiLevelType w:val="hybridMultilevel"/>
    <w:lvl w:ilvl="0">
      <w:lvlJc w:val="left"/>
      <w:lvlText w:val="●"/>
      <w:numFmt w:val="bullet"/>
      <w:start w:val="1"/>
    </w:lvl>
  </w:abstractNum>
  <w:abstractNum w:abstractNumId="66">
    <w:nsid w:val="5046B5A9"/>
    <w:multiLevelType w:val="hybridMultilevel"/>
    <w:lvl w:ilvl="0">
      <w:lvlJc w:val="left"/>
      <w:lvlText w:val="●"/>
      <w:numFmt w:val="bullet"/>
      <w:start w:val="1"/>
    </w:lvl>
  </w:abstractNum>
  <w:abstractNum w:abstractNumId="67">
    <w:nsid w:val="5D888A08"/>
    <w:multiLevelType w:val="hybridMultilevel"/>
    <w:lvl w:ilvl="0">
      <w:lvlJc w:val="left"/>
      <w:lvlText w:val="●"/>
      <w:numFmt w:val="bullet"/>
      <w:start w:val="1"/>
    </w:lvl>
  </w:abstractNum>
  <w:abstractNum w:abstractNumId="68">
    <w:nsid w:val="2A082C70"/>
    <w:multiLevelType w:val="hybridMultilevel"/>
    <w:lvl w:ilvl="0">
      <w:lvlJc w:val="left"/>
      <w:lvlText w:val="●"/>
      <w:numFmt w:val="bullet"/>
      <w:start w:val="1"/>
    </w:lvl>
  </w:abstractNum>
  <w:abstractNum w:abstractNumId="69">
    <w:nsid w:val="5EC6AFD4"/>
    <w:multiLevelType w:val="hybridMultilevel"/>
    <w:lvl w:ilvl="0">
      <w:lvlJc w:val="left"/>
      <w:lvlText w:val="●"/>
      <w:numFmt w:val="bullet"/>
      <w:start w:val="1"/>
    </w:lvl>
  </w:abstractNum>
  <w:abstractNum w:abstractNumId="70">
    <w:nsid w:val="19E21BB2"/>
    <w:multiLevelType w:val="hybridMultilevel"/>
    <w:lvl w:ilvl="0">
      <w:lvlJc w:val="left"/>
      <w:lvlText w:val="●"/>
      <w:numFmt w:val="bullet"/>
      <w:start w:val="1"/>
    </w:lvl>
  </w:abstractNum>
  <w:abstractNum w:abstractNumId="71">
    <w:nsid w:val="75E0858A"/>
    <w:multiLevelType w:val="hybridMultilevel"/>
    <w:lvl w:ilvl="0">
      <w:lvlJc w:val="left"/>
      <w:lvlText w:val="●"/>
      <w:numFmt w:val="bullet"/>
      <w:start w:val="1"/>
    </w:lvl>
  </w:abstractNum>
  <w:abstractNum w:abstractNumId="72">
    <w:nsid w:val="57A61A29"/>
    <w:multiLevelType w:val="hybridMultilevel"/>
    <w:lvl w:ilvl="0">
      <w:lvlJc w:val="left"/>
      <w:lvlText w:val="●"/>
      <w:numFmt w:val="bullet"/>
      <w:start w:val="1"/>
    </w:lvl>
  </w:abstractNum>
  <w:abstractNum w:abstractNumId="73">
    <w:nsid w:val="5399C654"/>
    <w:multiLevelType w:val="hybridMultilevel"/>
    <w:lvl w:ilvl="0">
      <w:lvlJc w:val="left"/>
      <w:lvlText w:val="●"/>
      <w:numFmt w:val="bullet"/>
      <w:start w:val="1"/>
    </w:lvl>
  </w:abstractNum>
  <w:abstractNum w:abstractNumId="74">
    <w:nsid w:val="20EE1348"/>
    <w:multiLevelType w:val="hybridMultilevel"/>
    <w:lvl w:ilvl="0">
      <w:lvlJc w:val="left"/>
      <w:lvlText w:val="●"/>
      <w:numFmt w:val="bullet"/>
      <w:start w:val="1"/>
    </w:lvl>
  </w:abstractNum>
  <w:abstractNum w:abstractNumId="75">
    <w:nsid w:val="4427069A"/>
    <w:multiLevelType w:val="hybridMultilevel"/>
    <w:lvl w:ilvl="0">
      <w:lvlJc w:val="left"/>
      <w:lvlText w:val="●"/>
      <w:numFmt w:val="bullet"/>
      <w:start w:val="1"/>
    </w:lvl>
  </w:abstractNum>
  <w:abstractNum w:abstractNumId="76">
    <w:nsid w:val="B37E80A"/>
    <w:multiLevelType w:val="hybridMultilevel"/>
    <w:lvl w:ilvl="0">
      <w:lvlJc w:val="left"/>
      <w:lvlText w:val="(%1)"/>
      <w:numFmt w:val="lowerLetter"/>
      <w:start w:val="1"/>
    </w:lvl>
  </w:abstractNum>
  <w:abstractNum w:abstractNumId="77">
    <w:nsid w:val="2157F6BC"/>
    <w:multiLevelType w:val="hybridMultilevel"/>
    <w:lvl w:ilvl="0">
      <w:lvlJc w:val="left"/>
      <w:lvlText w:val="(%1)"/>
      <w:numFmt w:val="lowerLetter"/>
      <w:start w:val="2"/>
    </w:lvl>
  </w:abstractNum>
  <w:abstractNum w:abstractNumId="78">
    <w:nsid w:val="704E1DD5"/>
    <w:multiLevelType w:val="hybridMultilevel"/>
    <w:lvl w:ilvl="0">
      <w:lvlJc w:val="left"/>
      <w:lvlText w:val="(%1)"/>
      <w:numFmt w:val="lowerLetter"/>
      <w:start w:val="1"/>
    </w:lvl>
  </w:abstractNum>
  <w:abstractNum w:abstractNumId="79">
    <w:nsid w:val="57D2F10E"/>
    <w:multiLevelType w:val="hybridMultilevel"/>
    <w:lvl w:ilvl="0">
      <w:lvlJc w:val="left"/>
      <w:lvlText w:val="(%1)"/>
      <w:numFmt w:val="lowerLetter"/>
      <w:start w:val="1"/>
    </w:lvl>
  </w:abstractNum>
  <w:abstractNum w:abstractNumId="80">
    <w:nsid w:val="BFFAE18"/>
    <w:multiLevelType w:val="hybridMultilevel"/>
    <w:lvl w:ilvl="0">
      <w:lvlJc w:val="left"/>
      <w:lvlText w:val="(%1)"/>
      <w:numFmt w:val="decimal"/>
      <w:start w:val="1"/>
    </w:lvl>
  </w:abstractNum>
  <w:abstractNum w:abstractNumId="81">
    <w:nsid w:val="E3E47A8"/>
    <w:multiLevelType w:val="hybridMultilevel"/>
    <w:lvl w:ilvl="0">
      <w:lvlJc w:val="left"/>
      <w:lvlText w:val="*"/>
      <w:numFmt w:val="bullet"/>
      <w:start w:val="1"/>
    </w:lvl>
    <w:lvl w:ilvl="1">
      <w:lvlJc w:val="left"/>
      <w:lvlText w:val="%2"/>
      <w:numFmt w:val="decimal"/>
      <w:start w:val="104"/>
    </w:lvl>
  </w:abstractNum>
  <w:abstractNum w:abstractNumId="82">
    <w:nsid w:val="2E48F044"/>
    <w:multiLevelType w:val="hybridMultilevel"/>
    <w:lvl w:ilvl="0">
      <w:lvlJc w:val="left"/>
      <w:lvlText w:val="**"/>
      <w:numFmt w:val="bullet"/>
      <w:start w:val="1"/>
    </w:lvl>
    <w:lvl w:ilvl="1">
      <w:lvlJc w:val="left"/>
      <w:lvlText w:val="%2"/>
      <w:numFmt w:val="decimal"/>
      <w:start w:val="1"/>
    </w:lvl>
  </w:abstractNum>
  <w:abstractNum w:abstractNumId="83">
    <w:nsid w:val="49D0FEAC"/>
    <w:multiLevelType w:val="hybridMultilevel"/>
    <w:lvl w:ilvl="0">
      <w:lvlJc w:val="left"/>
      <w:lvlText w:val="●"/>
      <w:numFmt w:val="bullet"/>
      <w:start w:val="1"/>
    </w:lvl>
    <w:lvl w:ilvl="1">
      <w:lvlJc w:val="left"/>
      <w:lvlText w:val="●"/>
      <w:numFmt w:val="bullet"/>
      <w:start w:val="1"/>
    </w:lvl>
  </w:abstractNum>
  <w:abstractNum w:abstractNumId="84">
    <w:nsid w:val="4BEE5A5B"/>
    <w:multiLevelType w:val="hybridMultilevel"/>
    <w:lvl w:ilvl="0">
      <w:lvlJc w:val="left"/>
      <w:lvlText w:val="%1."/>
      <w:numFmt w:val="decimal"/>
      <w:start w:val="1"/>
    </w:lvl>
    <w:lvl w:ilvl="1">
      <w:lvlJc w:val="left"/>
      <w:lvlText w:val="(%2)"/>
      <w:numFmt w:val="lowerLetter"/>
      <w:start w:val="1"/>
    </w:lvl>
  </w:abstractNum>
  <w:abstractNum w:abstractNumId="85">
    <w:nsid w:val="5551B9F3"/>
    <w:multiLevelType w:val="hybridMultilevel"/>
    <w:lvl w:ilvl="0">
      <w:lvlJc w:val="left"/>
      <w:lvlText w:val="%1."/>
      <w:numFmt w:val="decimal"/>
      <w:start w:val="1"/>
    </w:lvl>
    <w:lvl w:ilvl="1">
      <w:lvlJc w:val="left"/>
      <w:lvlText w:val="(%2)"/>
      <w:numFmt w:val="lowerLetter"/>
      <w:start w:val="2"/>
    </w:lvl>
  </w:abstractNum>
  <w:abstractNum w:abstractNumId="86">
    <w:nsid w:val="24F6AB8E"/>
    <w:multiLevelType w:val="hybridMultilevel"/>
    <w:lvl w:ilvl="0">
      <w:lvlJc w:val="left"/>
      <w:lvlText w:val="%1."/>
      <w:numFmt w:val="decimal"/>
      <w:start w:val="2"/>
    </w:lvl>
    <w:lvl w:ilvl="1">
      <w:lvlJc w:val="left"/>
      <w:lvlText w:val="(%2)"/>
      <w:numFmt w:val="lowerLetter"/>
      <w:start w:val="1"/>
    </w:lvl>
  </w:abstractNum>
  <w:abstractNum w:abstractNumId="87">
    <w:nsid w:val="634C574C"/>
    <w:multiLevelType w:val="hybridMultilevel"/>
    <w:lvl w:ilvl="0">
      <w:lvlJc w:val="left"/>
      <w:lvlText w:val="%1."/>
      <w:numFmt w:val="decimal"/>
      <w:start w:val="2"/>
    </w:lvl>
  </w:abstractNum>
  <w:abstractNum w:abstractNumId="88">
    <w:nsid w:val="24E99DD7"/>
    <w:multiLevelType w:val="hybridMultilevel"/>
    <w:lvl w:ilvl="0">
      <w:lvlJc w:val="left"/>
      <w:lvlText w:val="%1."/>
      <w:numFmt w:val="decimal"/>
      <w:start w:val="2"/>
    </w:lvl>
    <w:lvl w:ilvl="1">
      <w:lvlJc w:val="left"/>
      <w:lvlText w:val="(%2)"/>
      <w:numFmt w:val="lowerRoman"/>
      <w:start w:val="1"/>
    </w:lvl>
  </w:abstractNum>
  <w:abstractNum w:abstractNumId="89">
    <w:nsid w:val="2A31B62D"/>
    <w:multiLevelType w:val="hybridMultilevel"/>
    <w:lvl w:ilvl="0">
      <w:lvlJc w:val="left"/>
      <w:lvlText w:val="%1."/>
      <w:numFmt w:val="decimal"/>
      <w:start w:val="2"/>
    </w:lvl>
    <w:lvl w:ilvl="1">
      <w:lvlJc w:val="left"/>
      <w:lvlText w:val="(%2)"/>
      <w:numFmt w:val="lowerLetter"/>
      <w:start w:val="12"/>
    </w:lvl>
  </w:abstractNum>
  <w:abstractNum w:abstractNumId="90">
    <w:nsid w:val="1849C29B"/>
    <w:multiLevelType w:val="hybridMultilevel"/>
    <w:lvl w:ilvl="0">
      <w:lvlJc w:val="left"/>
      <w:lvlText w:val="●"/>
      <w:numFmt w:val="bullet"/>
      <w:start w:val="1"/>
    </w:lvl>
  </w:abstractNum>
  <w:abstractNum w:abstractNumId="91">
    <w:nsid w:val="7DFF9D09"/>
    <w:multiLevelType w:val="hybridMultilevel"/>
    <w:lvl w:ilvl="0">
      <w:lvlJc w:val="left"/>
      <w:lvlText w:val="%1)"/>
      <w:numFmt w:val="lowerRoman"/>
      <w:start w:val="1"/>
    </w:lvl>
  </w:abstractNum>
  <w:abstractNum w:abstractNumId="92">
    <w:nsid w:val="754342"/>
    <w:multiLevelType w:val="hybridMultilevel"/>
    <w:lvl w:ilvl="0">
      <w:lvlJc w:val="left"/>
      <w:lvlText w:val="%1."/>
      <w:numFmt w:val="decimal"/>
      <w:start w:val="2"/>
    </w:lvl>
    <w:lvl w:ilvl="1">
      <w:lvlJc w:val="left"/>
      <w:lvlText w:val="(%2)"/>
      <w:numFmt w:val="lowerLetter"/>
      <w:start w:val="12"/>
    </w:lvl>
  </w:abstractNum>
  <w:abstractNum w:abstractNumId="93">
    <w:nsid w:val="69E7F3E5"/>
    <w:multiLevelType w:val="hybridMultilevel"/>
    <w:lvl w:ilvl="0">
      <w:lvlJc w:val="left"/>
      <w:lvlText w:val="%1)"/>
      <w:numFmt w:val="lowerRoman"/>
      <w:start w:val="1"/>
    </w:lvl>
  </w:abstractNum>
  <w:abstractNum w:abstractNumId="94">
    <w:nsid w:val="2A6DE806"/>
    <w:multiLevelType w:val="hybridMultilevel"/>
    <w:lvl w:ilvl="0">
      <w:lvlJc w:val="left"/>
      <w:lvlText w:val="%1."/>
      <w:numFmt w:val="decimal"/>
      <w:start w:val="2"/>
    </w:lvl>
    <w:lvl w:ilvl="1">
      <w:lvlJc w:val="left"/>
      <w:lvlText w:val="(%2)"/>
      <w:numFmt w:val="lowerLetter"/>
      <w:start w:val="12"/>
    </w:lvl>
  </w:abstractNum>
  <w:abstractNum w:abstractNumId="95">
    <w:nsid w:val="1816F8C4"/>
    <w:multiLevelType w:val="hybridMultilevel"/>
    <w:lvl w:ilvl="0">
      <w:lvlJc w:val="left"/>
      <w:lvlText w:val="%1"/>
      <w:numFmt w:val="lowerLetter"/>
      <w:start w:val="1"/>
    </w:lvl>
    <w:lvl w:ilvl="1">
      <w:lvlJc w:val="left"/>
      <w:lvlText w:val="(%2)"/>
      <w:numFmt w:val="lowerRoman"/>
      <w:start w:val="1"/>
    </w:lvl>
  </w:abstractNum>
  <w:abstractNum w:abstractNumId="96">
    <w:nsid w:val="37DF2233"/>
    <w:multiLevelType w:val="hybridMultilevel"/>
    <w:lvl w:ilvl="0">
      <w:lvlJc w:val="left"/>
      <w:lvlText w:val="(%1)"/>
      <w:numFmt w:val="lowerLetter"/>
      <w:start w:val="13"/>
    </w:lvl>
    <w:lvl w:ilvl="1">
      <w:lvlJc w:val="left"/>
      <w:lvlText w:val="%2"/>
      <w:numFmt w:val="lowerRoman"/>
      <w:start w:val="1"/>
    </w:lvl>
  </w:abstractNum>
  <w:abstractNum w:abstractNumId="97">
    <w:nsid w:val="7AB49DAF"/>
    <w:multiLevelType w:val="hybridMultilevel"/>
    <w:lvl w:ilvl="0">
      <w:lvlJc w:val="left"/>
      <w:lvlText w:val="%1."/>
      <w:numFmt w:val="decimal"/>
      <w:start w:val="2"/>
    </w:lvl>
    <w:lvl w:ilvl="1">
      <w:lvlJc w:val="left"/>
      <w:lvlText w:val="(%2)"/>
      <w:numFmt w:val="lowerLetter"/>
      <w:start w:val="15"/>
    </w:lvl>
  </w:abstractNum>
  <w:abstractNum w:abstractNumId="98">
    <w:nsid w:val="759F82CD"/>
    <w:multiLevelType w:val="hybridMultilevel"/>
    <w:lvl w:ilvl="0">
      <w:lvlJc w:val="left"/>
      <w:lvlText w:val="(%1)"/>
      <w:numFmt w:val="lowerLetter"/>
      <w:start w:val="1"/>
    </w:lvl>
  </w:abstractNum>
  <w:abstractNum w:abstractNumId="99">
    <w:nsid w:val="61E74EA3"/>
    <w:multiLevelType w:val="hybridMultilevel"/>
    <w:lvl w:ilvl="0">
      <w:lvlJc w:val="left"/>
      <w:lvlText w:val="%1."/>
      <w:numFmt w:val="decimal"/>
      <w:start w:val="2"/>
    </w:lvl>
    <w:lvl w:ilvl="1">
      <w:lvlJc w:val="left"/>
      <w:lvlText w:val="(%2)"/>
      <w:numFmt w:val="lowerLetter"/>
      <w:start w:val="18"/>
    </w:lvl>
  </w:abstractNum>
  <w:abstractNum w:abstractNumId="100">
    <w:nsid w:val="597B4D84"/>
    <w:multiLevelType w:val="hybridMultilevel"/>
    <w:lvl w:ilvl="0">
      <w:lvlJc w:val="left"/>
      <w:lvlText w:val="●"/>
      <w:numFmt w:val="bullet"/>
      <w:start w:val="1"/>
    </w:lvl>
  </w:abstractNum>
  <w:abstractNum w:abstractNumId="101">
    <w:nsid w:val="F819E7F"/>
    <w:multiLevelType w:val="hybridMultilevel"/>
    <w:lvl w:ilvl="0">
      <w:lvlJc w:val="left"/>
      <w:lvlText w:val="%1."/>
      <w:numFmt w:val="decimal"/>
      <w:start w:val="2"/>
    </w:lvl>
    <w:lvl w:ilvl="1">
      <w:lvlJc w:val="left"/>
      <w:lvlText w:val="(%2)"/>
      <w:numFmt w:val="lowerLetter"/>
      <w:start w:val="21"/>
    </w:lvl>
  </w:abstractNum>
  <w:abstractNum w:abstractNumId="102">
    <w:nsid w:val="57C7D42D"/>
    <w:multiLevelType w:val="hybridMultilevel"/>
    <w:lvl w:ilvl="0">
      <w:lvlJc w:val="left"/>
      <w:lvlText w:val="%1."/>
      <w:numFmt w:val="decimal"/>
      <w:start w:val="2"/>
    </w:lvl>
    <w:lvl w:ilvl="1">
      <w:lvlJc w:val="left"/>
      <w:lvlText w:val="(%2)"/>
      <w:numFmt w:val="lowerLetter"/>
      <w:start w:val="25"/>
    </w:lvl>
  </w:abstractNum>
  <w:abstractNum w:abstractNumId="103">
    <w:nsid w:val="312167AD"/>
    <w:multiLevelType w:val="hybridMultilevel"/>
    <w:lvl w:ilvl="0">
      <w:lvlJc w:val="left"/>
      <w:lvlText w:val="%1."/>
      <w:numFmt w:val="decimal"/>
      <w:start w:val="2"/>
    </w:lvl>
  </w:abstractNum>
  <w:abstractNum w:abstractNumId="104">
    <w:nsid w:val="631B64D4"/>
    <w:multiLevelType w:val="hybridMultilevel"/>
    <w:lvl w:ilvl="0">
      <w:lvlJc w:val="left"/>
      <w:lvlText w:val="%1."/>
      <w:numFmt w:val="decimal"/>
      <w:start w:val="3"/>
    </w:lvl>
  </w:abstractNum>
  <w:abstractNum w:abstractNumId="105">
    <w:nsid w:val="78B5E776"/>
    <w:multiLevelType w:val="hybridMultilevel"/>
    <w:lvl w:ilvl="0">
      <w:lvlJc w:val="left"/>
      <w:lvlText w:val="%1."/>
      <w:numFmt w:val="decimal"/>
      <w:start w:val="4"/>
    </w:lvl>
  </w:abstractNum>
  <w:abstractNum w:abstractNumId="106">
    <w:nsid w:val="75486E47"/>
    <w:multiLevelType w:val="hybridMultilevel"/>
    <w:lvl w:ilvl="0">
      <w:lvlJc w:val="left"/>
      <w:lvlText w:val="%1."/>
      <w:numFmt w:val="decimal"/>
      <w:start w:val="5"/>
    </w:lvl>
  </w:abstractNum>
  <w:abstractNum w:abstractNumId="107">
    <w:nsid w:val="6E534CDE"/>
    <w:multiLevelType w:val="hybridMultilevel"/>
    <w:lvl w:ilvl="0">
      <w:lvlJc w:val="left"/>
      <w:lvlText w:val="%1."/>
      <w:numFmt w:val="decimal"/>
      <w:start w:val="5"/>
    </w:lvl>
  </w:abstractNum>
  <w:abstractNum w:abstractNumId="108">
    <w:nsid w:val="1A0DDE32"/>
    <w:multiLevelType w:val="hybridMultilevel"/>
    <w:lvl w:ilvl="0">
      <w:lvlJc w:val="left"/>
      <w:lvlText w:val="%1."/>
      <w:numFmt w:val="decimal"/>
      <w:start w:val="5"/>
    </w:lvl>
  </w:abstractNum>
  <w:abstractNum w:abstractNumId="109">
    <w:nsid w:val="65968C1C"/>
    <w:multiLevelType w:val="hybridMultilevel"/>
    <w:lvl w:ilvl="0">
      <w:lvlJc w:val="left"/>
      <w:lvlText w:val="%1."/>
      <w:numFmt w:val="decimal"/>
      <w:start w:val="6"/>
    </w:lvl>
  </w:abstractNum>
  <w:abstractNum w:abstractNumId="110">
    <w:nsid w:val="46263DEC"/>
    <w:multiLevelType w:val="hybridMultilevel"/>
    <w:lvl w:ilvl="0">
      <w:lvlJc w:val="left"/>
      <w:lvlText w:val="%1."/>
      <w:numFmt w:val="decimal"/>
      <w:start w:val="6"/>
    </w:lvl>
  </w:abstractNum>
  <w:abstractNum w:abstractNumId="111">
    <w:nsid w:val="260D8C4A"/>
    <w:multiLevelType w:val="hybridMultilevel"/>
    <w:lvl w:ilvl="0">
      <w:lvlJc w:val="left"/>
      <w:lvlText w:val="%1."/>
      <w:numFmt w:val="decimal"/>
      <w:start w:val="7"/>
    </w:lvl>
  </w:abstractNum>
  <w:abstractNum w:abstractNumId="112">
    <w:nsid w:val="73D4D3C4"/>
    <w:multiLevelType w:val="hybridMultilevel"/>
    <w:lvl w:ilvl="0">
      <w:lvlJc w:val="left"/>
      <w:lvlText w:val="%1."/>
      <w:numFmt w:val="decimal"/>
      <w:start w:val="7"/>
    </w:lvl>
  </w:abstractNum>
  <w:abstractNum w:abstractNumId="113">
    <w:nsid w:val="746F2E30"/>
    <w:multiLevelType w:val="hybridMultilevel"/>
    <w:lvl w:ilvl="0">
      <w:lvlJc w:val="left"/>
      <w:lvlText w:val="%1."/>
      <w:numFmt w:val="decimal"/>
      <w:start w:val="9"/>
    </w:lvl>
  </w:abstractNum>
  <w:abstractNum w:abstractNumId="114">
    <w:nsid w:val="6FDE8AF6"/>
    <w:multiLevelType w:val="hybridMultilevel"/>
    <w:lvl w:ilvl="0">
      <w:lvlJc w:val="left"/>
      <w:lvlText w:val="%1."/>
      <w:numFmt w:val="decimal"/>
      <w:start w:val="9"/>
    </w:lvl>
  </w:abstractNum>
  <w:abstractNum w:abstractNumId="115">
    <w:nsid w:val="3FC32E20"/>
    <w:multiLevelType w:val="hybridMultilevel"/>
    <w:lvl w:ilvl="0">
      <w:lvlJc w:val="left"/>
      <w:lvlText w:val="%1."/>
      <w:numFmt w:val="decimal"/>
      <w:start w:val="10"/>
    </w:lvl>
  </w:abstractNum>
  <w:abstractNum w:abstractNumId="116">
    <w:nsid w:val="49C0E823"/>
    <w:multiLevelType w:val="hybridMultilevel"/>
    <w:lvl w:ilvl="0">
      <w:lvlJc w:val="left"/>
      <w:lvlText w:val="%1."/>
      <w:numFmt w:val="decimal"/>
      <w:start w:val="11"/>
    </w:lvl>
  </w:abstractNum>
  <w:abstractNum w:abstractNumId="117">
    <w:nsid w:val="14D53685"/>
    <w:multiLevelType w:val="hybridMultilevel"/>
    <w:lvl w:ilvl="0">
      <w:lvlJc w:val="left"/>
      <w:lvlText w:val="(%1)"/>
      <w:numFmt w:val="decimal"/>
      <w:start w:val="1"/>
    </w:lvl>
  </w:abstractNum>
  <w:abstractNum w:abstractNumId="118">
    <w:nsid w:val="230F856C"/>
    <w:multiLevelType w:val="hybridMultilevel"/>
    <w:lvl w:ilvl="0">
      <w:lvlJc w:val="left"/>
      <w:lvlText w:val="%1."/>
      <w:numFmt w:val="decimal"/>
      <w:start w:val="12"/>
    </w:lvl>
  </w:abstractNum>
  <w:abstractNum w:abstractNumId="119">
    <w:nsid w:val="6EAA85FB"/>
    <w:multiLevelType w:val="hybridMultilevel"/>
    <w:lvl w:ilvl="0">
      <w:lvlJc w:val="left"/>
      <w:lvlText w:val="%1."/>
      <w:numFmt w:val="decimal"/>
      <w:start w:val="12"/>
    </w:lvl>
    <w:lvl w:ilvl="1">
      <w:lvlJc w:val="left"/>
      <w:lvlText w:val="●"/>
      <w:numFmt w:val="bullet"/>
      <w:start w:val="1"/>
    </w:lvl>
  </w:abstractNum>
  <w:abstractNum w:abstractNumId="120">
    <w:nsid w:val="3F06ECB2"/>
    <w:multiLevelType w:val="hybridMultilevel"/>
    <w:lvl w:ilvl="0">
      <w:lvlJc w:val="left"/>
      <w:lvlText w:val="%1."/>
      <w:numFmt w:val="decimal"/>
      <w:start w:val="13"/>
    </w:lvl>
  </w:abstractNum>
  <w:abstractNum w:abstractNumId="121">
    <w:nsid w:val="3B594807"/>
    <w:multiLevelType w:val="hybridMultilevel"/>
    <w:lvl w:ilvl="0">
      <w:lvlJc w:val="left"/>
      <w:lvlText w:val="%1."/>
      <w:numFmt w:val="decimal"/>
      <w:start w:val="13"/>
    </w:lvl>
    <w:lvl w:ilvl="1">
      <w:lvlJc w:val="left"/>
      <w:lvlText w:val="(%2)"/>
      <w:numFmt w:val="lowerLetter"/>
      <w:start w:val="2"/>
    </w:lvl>
  </w:abstractNum>
  <w:abstractNum w:abstractNumId="122">
    <w:nsid w:val="6CAA2304"/>
    <w:multiLevelType w:val="hybridMultilevel"/>
    <w:lvl w:ilvl="0">
      <w:lvlJc w:val="left"/>
      <w:lvlText w:val="%1."/>
      <w:numFmt w:val="decimal"/>
      <w:start w:val="13"/>
    </w:lvl>
    <w:lvl w:ilvl="1">
      <w:lvlJc w:val="left"/>
      <w:lvlText w:val="(%2)"/>
      <w:numFmt w:val="lowerLetter"/>
      <w:start w:val="4"/>
    </w:lvl>
  </w:abstractNum>
  <w:abstractNum w:abstractNumId="123">
    <w:nsid w:val="3F7C2FF4"/>
    <w:multiLevelType w:val="hybridMultilevel"/>
    <w:lvl w:ilvl="0">
      <w:lvlJc w:val="left"/>
      <w:lvlText w:val="%1."/>
      <w:numFmt w:val="decimal"/>
      <w:start w:val="14"/>
    </w:lvl>
  </w:abstractNum>
  <w:abstractNum w:abstractNumId="124">
    <w:nsid w:val="25413BEC"/>
    <w:multiLevelType w:val="hybridMultilevel"/>
    <w:lvl w:ilvl="0">
      <w:lvlJc w:val="left"/>
      <w:lvlText w:val="%1."/>
      <w:numFmt w:val="decimal"/>
      <w:start w:val="14"/>
    </w:lvl>
    <w:lvl w:ilvl="1">
      <w:lvlJc w:val="left"/>
      <w:lvlText w:val="●"/>
      <w:numFmt w:val="bullet"/>
      <w:start w:val="1"/>
    </w:lvl>
  </w:abstractNum>
  <w:abstractNum w:abstractNumId="125">
    <w:nsid w:val="17180B0B"/>
    <w:multiLevelType w:val="hybridMultilevel"/>
    <w:lvl w:ilvl="0">
      <w:lvlJc w:val="left"/>
      <w:lvlText w:val="%1."/>
      <w:numFmt w:val="decimal"/>
      <w:start w:val="14"/>
    </w:lvl>
  </w:abstractNum>
  <w:abstractNum w:abstractNumId="126">
    <w:nsid w:val="579328B9"/>
    <w:multiLevelType w:val="hybridMultilevel"/>
    <w:lvl w:ilvl="0">
      <w:lvlJc w:val="left"/>
      <w:lvlText w:val="%1."/>
      <w:numFmt w:val="decimal"/>
      <w:start w:val="14"/>
    </w:lvl>
  </w:abstractNum>
  <w:abstractNum w:abstractNumId="127">
    <w:nsid w:val="5D205E20"/>
    <w:multiLevelType w:val="hybridMultilevel"/>
    <w:lvl w:ilvl="0">
      <w:lvlJc w:val="left"/>
      <w:lvlText w:val="%1."/>
      <w:numFmt w:val="decimal"/>
      <w:start w:val="14"/>
    </w:lvl>
  </w:abstractNum>
  <w:abstractNum w:abstractNumId="128">
    <w:nsid w:val="11CCA8BA"/>
    <w:multiLevelType w:val="hybridMultilevel"/>
    <w:lvl w:ilvl="0">
      <w:lvlJc w:val="left"/>
      <w:lvlText w:val="%1."/>
      <w:numFmt w:val="decimal"/>
      <w:start w:val="15"/>
    </w:lvl>
    <w:lvl w:ilvl="1">
      <w:lvlJc w:val="left"/>
      <w:lvlText w:val="(%2)"/>
      <w:numFmt w:val="lowerLetter"/>
      <w:start w:val="1"/>
    </w:lvl>
  </w:abstractNum>
  <w:abstractNum w:abstractNumId="129">
    <w:nsid w:val="4D32AB86"/>
    <w:multiLevelType w:val="hybridMultilevel"/>
    <w:lvl w:ilvl="0">
      <w:lvlJc w:val="left"/>
      <w:lvlText w:val="%1."/>
      <w:numFmt w:val="decimal"/>
      <w:start w:val="16"/>
    </w:lvl>
  </w:abstractNum>
  <w:abstractNum w:abstractNumId="130">
    <w:nsid w:val="3F07ACC3"/>
    <w:multiLevelType w:val="hybridMultilevel"/>
    <w:lvl w:ilvl="0">
      <w:lvlJc w:val="left"/>
      <w:lvlText w:val="%1."/>
      <w:numFmt w:val="decimal"/>
      <w:start w:val="17"/>
    </w:lvl>
  </w:abstractNum>
  <w:abstractNum w:abstractNumId="131">
    <w:nsid w:val="6B47F63E"/>
    <w:multiLevelType w:val="hybridMultilevel"/>
    <w:lvl w:ilvl="0">
      <w:lvlJc w:val="left"/>
      <w:lvlText w:val="%1."/>
      <w:numFmt w:val="decimal"/>
      <w:start w:val="18"/>
    </w:lvl>
  </w:abstractNum>
  <w:abstractNum w:abstractNumId="132">
    <w:nsid w:val="5CB44A05"/>
    <w:multiLevelType w:val="hybridMultilevel"/>
    <w:lvl w:ilvl="0">
      <w:lvlJc w:val="left"/>
      <w:lvlText w:val="%1."/>
      <w:numFmt w:val="decimal"/>
      <w:start w:val="18"/>
    </w:lvl>
  </w:abstractNum>
  <w:abstractNum w:abstractNumId="133">
    <w:nsid w:val="16CF80F1"/>
    <w:multiLevelType w:val="hybridMultilevel"/>
    <w:lvl w:ilvl="0">
      <w:lvlJc w:val="left"/>
      <w:lvlText w:val="%1."/>
      <w:numFmt w:val="decimal"/>
      <w:start w:val="18"/>
    </w:lvl>
  </w:abstractNum>
  <w:abstractNum w:abstractNumId="134">
    <w:nsid w:val="1C695DEC"/>
    <w:multiLevelType w:val="hybridMultilevel"/>
    <w:lvl w:ilvl="0">
      <w:lvlJc w:val="left"/>
      <w:lvlText w:val="%1."/>
      <w:numFmt w:val="decimal"/>
      <w:start w:val="18"/>
    </w:lvl>
  </w:abstractNum>
  <w:abstractNum w:abstractNumId="135">
    <w:nsid w:val="3FCFAED9"/>
    <w:multiLevelType w:val="hybridMultilevel"/>
    <w:lvl w:ilvl="0">
      <w:lvlJc w:val="left"/>
      <w:lvlText w:val="%1."/>
      <w:numFmt w:val="decimal"/>
      <w:start w:val="19"/>
    </w:lvl>
  </w:abstractNum>
  <w:abstractNum w:abstractNumId="136">
    <w:nsid w:val="F856867"/>
    <w:multiLevelType w:val="hybridMultilevel"/>
    <w:lvl w:ilvl="0">
      <w:lvlJc w:val="left"/>
      <w:lvlText w:val="%1."/>
      <w:numFmt w:val="upperLetter"/>
      <w:start w:val="35"/>
    </w:lvl>
  </w:abstractNum>
  <w:abstractNum w:abstractNumId="137">
    <w:nsid w:val="11B1CC33"/>
    <w:multiLevelType w:val="hybridMultilevel"/>
    <w:lvl w:ilvl="0">
      <w:lvlJc w:val="left"/>
      <w:lvlText w:val="%1."/>
      <w:numFmt w:val="upperLetter"/>
      <w:start w:val="61"/>
    </w:lvl>
  </w:abstractNum>
  <w:abstractNum w:abstractNumId="138">
    <w:nsid w:val="2E22FBB7"/>
    <w:multiLevelType w:val="hybridMultilevel"/>
    <w:lvl w:ilvl="0">
      <w:lvlJc w:val="left"/>
      <w:lvlText w:val="·"/>
      <w:numFmt w:val="bullet"/>
      <w:start w:val="1"/>
    </w:lvl>
  </w:abstractNum>
  <w:abstractNum w:abstractNumId="139">
    <w:nsid w:val="29934699"/>
    <w:multiLevelType w:val="hybridMultilevel"/>
    <w:lvl w:ilvl="0">
      <w:lvlJc w:val="left"/>
      <w:lvlText w:val="%1."/>
      <w:numFmt w:val="upperLetter"/>
      <w:start w:val="22"/>
    </w:lvl>
  </w:abstractNum>
  <w:abstractNum w:abstractNumId="140">
    <w:nsid w:val="77485850"/>
    <w:multiLevelType w:val="hybridMultilevel"/>
    <w:lvl w:ilvl="0">
      <w:lvlJc w:val="left"/>
      <w:lvlText w:val="●"/>
      <w:numFmt w:val="bullet"/>
      <w:start w:val="1"/>
    </w:lvl>
  </w:abstractNum>
  <w:abstractNum w:abstractNumId="141">
    <w:nsid w:val="744939A3"/>
    <w:multiLevelType w:val="hybridMultilevel"/>
    <w:lvl w:ilvl="0">
      <w:lvlJc w:val="left"/>
      <w:lvlText w:val="●"/>
      <w:numFmt w:val="bullet"/>
      <w:start w:val="1"/>
    </w:lvl>
  </w:abstractNum>
  <w:abstractNum w:abstractNumId="142">
    <w:nsid w:val="4FA0D2E3"/>
    <w:multiLevelType w:val="hybridMultilevel"/>
    <w:lvl w:ilvl="0">
      <w:lvlJc w:val="left"/>
      <w:lvlText w:val="●"/>
      <w:numFmt w:val="bullet"/>
      <w:start w:val="1"/>
    </w:lvl>
  </w:abstractNum>
  <w:abstractNum w:abstractNumId="143">
    <w:nsid w:val="6B1D2C14"/>
    <w:multiLevelType w:val="hybridMultilevel"/>
    <w:lvl w:ilvl="0">
      <w:lvlJc w:val="left"/>
      <w:lvlText w:val="●"/>
      <w:numFmt w:val="bullet"/>
      <w:start w:val="1"/>
    </w:lvl>
  </w:abstractNum>
  <w:abstractNum w:abstractNumId="144">
    <w:nsid w:val="68B867D3"/>
    <w:multiLevelType w:val="hybridMultilevel"/>
    <w:lvl w:ilvl="0">
      <w:lvlJc w:val="left"/>
      <w:lvlText w:val="%1."/>
      <w:numFmt w:val="upperLetter"/>
      <w:start w:val="9"/>
    </w:lvl>
  </w:abstractNum>
  <w:abstractNum w:abstractNumId="145">
    <w:nsid w:val="3F7F5DD9"/>
    <w:multiLevelType w:val="hybridMultilevel"/>
    <w:lvl w:ilvl="0">
      <w:lvlJc w:val="left"/>
      <w:lvlText w:val="%1."/>
      <w:numFmt w:val="upperLetter"/>
      <w:start w:val="35"/>
    </w:lvl>
  </w:abstractNum>
  <w:abstractNum w:abstractNumId="146">
    <w:nsid w:val="2AE05A34"/>
    <w:multiLevelType w:val="hybridMultilevel"/>
    <w:lvl w:ilvl="0">
      <w:lvlJc w:val="left"/>
      <w:lvlText w:val="%1."/>
      <w:numFmt w:val="upperLetter"/>
      <w:start w:val="1"/>
    </w:lvl>
  </w:abstractNum>
  <w:abstractNum w:abstractNumId="147">
    <w:nsid w:val="32794FF7"/>
    <w:multiLevelType w:val="hybridMultilevel"/>
    <w:lvl w:ilvl="0">
      <w:lvlJc w:val="left"/>
      <w:lvlText w:val="%1."/>
      <w:numFmt w:val="decimal"/>
      <w:start w:val="1"/>
    </w:lvl>
  </w:abstractNum>
  <w:abstractNum w:abstractNumId="148">
    <w:nsid w:val="5454945E"/>
    <w:multiLevelType w:val="hybridMultilevel"/>
    <w:lvl w:ilvl="0">
      <w:lvlJc w:val="left"/>
      <w:lvlText w:val="(%1)"/>
      <w:numFmt w:val="lowerLetter"/>
      <w:start w:val="1"/>
    </w:lvl>
  </w:abstractNum>
  <w:abstractNum w:abstractNumId="149">
    <w:nsid w:val="4DEFDFA0"/>
    <w:multiLevelType w:val="hybridMultilevel"/>
    <w:lvl w:ilvl="0">
      <w:lvlJc w:val="left"/>
      <w:lvlText w:val="(%1)"/>
      <w:numFmt w:val="lowerLetter"/>
      <w:start w:val="1"/>
    </w:lvl>
  </w:abstractNum>
  <w:abstractNum w:abstractNumId="150">
    <w:nsid w:val="2123D5F2"/>
    <w:multiLevelType w:val="hybridMultilevel"/>
    <w:lvl w:ilvl="0">
      <w:lvlJc w:val="left"/>
      <w:lvlText w:val="(%1)"/>
      <w:numFmt w:val="lowerRoman"/>
      <w:start w:val="1"/>
    </w:lvl>
  </w:abstractNum>
  <w:abstractNum w:abstractNumId="151">
    <w:nsid w:val="135B8110"/>
    <w:multiLevelType w:val="hybridMultilevel"/>
    <w:lvl w:ilvl="0">
      <w:lvlJc w:val="left"/>
      <w:lvlText w:val="(%1)"/>
      <w:numFmt w:val="lowerLetter"/>
      <w:start w:val="1"/>
    </w:lvl>
  </w:abstractNum>
  <w:abstractNum w:abstractNumId="152">
    <w:nsid w:val="94927A8"/>
    <w:multiLevelType w:val="hybridMultilevel"/>
    <w:lvl w:ilvl="0">
      <w:lvlJc w:val="left"/>
      <w:lvlText w:val="(%1)"/>
      <w:numFmt w:val="lowerLetter"/>
      <w:start w:val="3"/>
    </w:lvl>
  </w:abstractNum>
  <w:abstractNum w:abstractNumId="153">
    <w:nsid w:val="DCDF8F6"/>
    <w:multiLevelType w:val="hybridMultilevel"/>
    <w:lvl w:ilvl="0">
      <w:lvlJc w:val="left"/>
      <w:lvlText w:val="(%1)"/>
      <w:numFmt w:val="lowerLetter"/>
      <w:start w:val="1"/>
    </w:lvl>
  </w:abstractNum>
  <w:abstractNum w:abstractNumId="154">
    <w:nsid w:val="52D7B105"/>
    <w:multiLevelType w:val="hybridMultilevel"/>
    <w:lvl w:ilvl="0">
      <w:lvlJc w:val="left"/>
      <w:lvlText w:val="%1."/>
      <w:numFmt w:val="upperLetter"/>
      <w:start w:val="2"/>
    </w:lvl>
  </w:abstractNum>
  <w:abstractNum w:abstractNumId="155">
    <w:nsid w:val="2E8A6394"/>
    <w:multiLevelType w:val="hybridMultilevel"/>
    <w:lvl w:ilvl="0">
      <w:lvlJc w:val="left"/>
      <w:lvlText w:val="%1."/>
      <w:numFmt w:val="decimal"/>
      <w:start w:val="1"/>
    </w:lvl>
  </w:abstractNum>
  <w:abstractNum w:abstractNumId="156">
    <w:nsid w:val="24E6040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57">
    <w:nsid w:val="2A6AD9BE"/>
    <w:multiLevelType w:val="hybridMultilevel"/>
    <w:lvl w:ilvl="0">
      <w:lvlJc w:val="left"/>
      <w:lvlText w:val="%1."/>
      <w:numFmt w:val="decimal"/>
      <w:start w:val="9"/>
    </w:lvl>
  </w:abstractNum>
  <w:abstractNum w:abstractNumId="158">
    <w:nsid w:val="BAAC1B4"/>
    <w:multiLevelType w:val="hybridMultilevel"/>
    <w:lvl w:ilvl="0">
      <w:lvlJc w:val="left"/>
      <w:lvlText w:val="%1."/>
      <w:numFmt w:val="upperLetter"/>
      <w:start w:val="3"/>
    </w:lvl>
  </w:abstractNum>
  <w:abstractNum w:abstractNumId="159">
    <w:nsid w:val="36B2ACBC"/>
    <w:multiLevelType w:val="hybridMultilevel"/>
    <w:lvl w:ilvl="0">
      <w:lvlJc w:val="left"/>
      <w:lvlText w:val="%1."/>
      <w:numFmt w:val="upperLetter"/>
      <w:start w:val="4"/>
    </w:lvl>
  </w:abstractNum>
  <w:abstractNum w:abstractNumId="160">
    <w:nsid w:val="779D8544"/>
    <w:multiLevelType w:val="hybridMultilevel"/>
    <w:lvl w:ilvl="0">
      <w:lvlJc w:val="left"/>
      <w:lvlText w:val="%1."/>
      <w:numFmt w:val="upperLetter"/>
      <w:start w:val="5"/>
    </w:lvl>
  </w:abstractNum>
  <w:abstractNum w:abstractNumId="161">
    <w:nsid w:val="4AB26E78"/>
    <w:multiLevelType w:val="hybridMultilevel"/>
    <w:lvl w:ilvl="0">
      <w:lvlJc w:val="left"/>
      <w:lvlText w:val="%1."/>
      <w:numFmt w:val="upperLetter"/>
      <w:start w:val="6"/>
    </w:lvl>
  </w:abstractNum>
  <w:abstractNum w:abstractNumId="162">
    <w:nsid w:val="21FAA2FA"/>
    <w:multiLevelType w:val="hybridMultilevel"/>
    <w:lvl w:ilvl="0">
      <w:lvlJc w:val="left"/>
      <w:lvlText w:val="%1."/>
      <w:numFmt w:val="decimal"/>
      <w:start w:val="1"/>
    </w:lvl>
  </w:abstractNum>
  <w:abstractNum w:abstractNumId="163">
    <w:nsid w:val="5451CF49"/>
    <w:multiLevelType w:val="hybridMultilevel"/>
    <w:lvl w:ilvl="0">
      <w:lvlJc w:val="left"/>
      <w:lvlText w:val="%1"/>
      <w:numFmt w:val="upperLetter"/>
      <w:start w:val="1"/>
    </w:lvl>
    <w:lvl w:ilvl="1">
      <w:lvlJc w:val="left"/>
      <w:lvlText w:val="%2."/>
      <w:numFmt w:val="decimal"/>
      <w:start w:val="3"/>
    </w:lvl>
  </w:abstractNum>
  <w:abstractNum w:abstractNumId="164">
    <w:nsid w:val="6181EF69"/>
    <w:multiLevelType w:val="hybridMultilevel"/>
    <w:lvl w:ilvl="0">
      <w:lvlJc w:val="left"/>
      <w:lvlText w:val="%1."/>
      <w:numFmt w:val="upperLetter"/>
      <w:start w:val="7"/>
    </w:lvl>
    <w:lvl w:ilvl="1">
      <w:lvlJc w:val="left"/>
      <w:lvlText w:val="%2"/>
      <w:numFmt w:val="decimal"/>
      <w:start w:val="1"/>
    </w:lvl>
  </w:abstractNum>
  <w:abstractNum w:abstractNumId="165">
    <w:nsid w:val="3E6400E6"/>
    <w:multiLevelType w:val="hybridMultilevel"/>
    <w:lvl w:ilvl="0">
      <w:lvlJc w:val="left"/>
      <w:lvlText w:val="%1."/>
      <w:numFmt w:val="decimal"/>
      <w:start w:val="1"/>
    </w:lvl>
    <w:lvl w:ilvl="1">
      <w:lvlJc w:val="left"/>
      <w:lvlText w:val="●"/>
      <w:numFmt w:val="bullet"/>
      <w:start w:val="1"/>
    </w:lvl>
  </w:abstractNum>
  <w:abstractNum w:abstractNumId="166">
    <w:nsid w:val="14217E23"/>
    <w:multiLevelType w:val="hybridMultilevel"/>
    <w:lvl w:ilvl="0">
      <w:lvlJc w:val="left"/>
      <w:lvlText w:val="%1."/>
      <w:numFmt w:val="decimal"/>
      <w:start w:val="1"/>
    </w:lvl>
    <w:lvl w:ilvl="1">
      <w:lvlJc w:val="left"/>
      <w:lvlText w:val="●"/>
      <w:numFmt w:val="bullet"/>
      <w:start w:val="1"/>
    </w:lvl>
  </w:abstractNum>
  <w:abstractNum w:abstractNumId="167">
    <w:nsid w:val="710757D0"/>
    <w:multiLevelType w:val="hybridMultilevel"/>
    <w:lvl w:ilvl="0">
      <w:lvlJc w:val="left"/>
      <w:lvlText w:val="%1."/>
      <w:numFmt w:val="upperLetter"/>
      <w:start w:val="8"/>
    </w:lvl>
  </w:abstractNum>
  <w:abstractNum w:abstractNumId="168">
    <w:nsid w:val="5015CD1A"/>
    <w:multiLevelType w:val="hybridMultilevel"/>
    <w:lvl w:ilvl="0">
      <w:lvlJc w:val="left"/>
      <w:lvlText w:val="(%1)"/>
      <w:numFmt w:val="lowerLetter"/>
      <w:start w:val="1"/>
    </w:lvl>
  </w:abstractNum>
  <w:abstractNum w:abstractNumId="169">
    <w:nsid w:val="424479DA"/>
    <w:multiLevelType w:val="hybridMultilevel"/>
    <w:lvl w:ilvl="0">
      <w:lvlJc w:val="left"/>
      <w:lvlText w:val="1"/>
      <w:numFmt w:val="bullet"/>
      <w:start w:val="1"/>
    </w:lvl>
  </w:abstractNum>
  <w:abstractNum w:abstractNumId="170">
    <w:nsid w:val="1A9A9E69"/>
    <w:multiLevelType w:val="hybridMultilevel"/>
    <w:lvl w:ilvl="0">
      <w:lvlJc w:val="left"/>
      <w:lvlText w:val="%1."/>
      <w:numFmt w:val="upperLetter"/>
      <w:start w:val="9"/>
    </w:lvl>
  </w:abstractNum>
  <w:abstractNum w:abstractNumId="171">
    <w:nsid w:val="475E256A"/>
    <w:multiLevelType w:val="hybridMultilevel"/>
    <w:lvl w:ilvl="0">
      <w:lvlJc w:val="left"/>
      <w:lvlText w:val="%1."/>
      <w:numFmt w:val="upperLetter"/>
      <w:start w:val="10"/>
    </w:lvl>
  </w:abstractNum>
  <w:abstractNum w:abstractNumId="172">
    <w:nsid w:val="368DB37E"/>
    <w:multiLevelType w:val="hybridMultilevel"/>
    <w:lvl w:ilvl="0">
      <w:lvlJc w:val="left"/>
      <w:lvlText w:val="%1."/>
      <w:numFmt w:val="upperLetter"/>
      <w:start w:val="61"/>
    </w:lvl>
  </w:abstractNum>
  <w:abstractNum w:abstractNumId="173">
    <w:nsid w:val="6A3B714C"/>
    <w:multiLevelType w:val="hybridMultilevel"/>
    <w:lvl w:ilvl="0">
      <w:lvlJc w:val="left"/>
      <w:lvlText w:val="%1."/>
      <w:numFmt w:val="upperLetter"/>
      <w:start w:val="1"/>
    </w:lvl>
  </w:abstractNum>
  <w:abstractNum w:abstractNumId="174">
    <w:nsid w:val="327B517E"/>
    <w:multiLevelType w:val="hybridMultilevel"/>
    <w:lvl w:ilvl="0">
      <w:lvlJc w:val="left"/>
      <w:lvlText w:val="%1."/>
      <w:numFmt w:val="decimal"/>
      <w:start w:val="1"/>
    </w:lvl>
  </w:abstractNum>
  <w:abstractNum w:abstractNumId="175">
    <w:nsid w:val="1F461B51"/>
    <w:multiLevelType w:val="hybridMultilevel"/>
    <w:lvl w:ilvl="0">
      <w:lvlJc w:val="left"/>
      <w:lvlText w:val="%1."/>
      <w:numFmt w:val="decimal"/>
      <w:start w:val="3"/>
    </w:lvl>
  </w:abstractNum>
  <w:abstractNum w:abstractNumId="176">
    <w:nsid w:val="29BACF25"/>
    <w:multiLevelType w:val="hybridMultilevel"/>
    <w:lvl w:ilvl="0">
      <w:lvlJc w:val="left"/>
      <w:lvlText w:val="%1."/>
      <w:numFmt w:val="decimal"/>
      <w:start w:val="4"/>
    </w:lvl>
  </w:abstractNum>
  <w:abstractNum w:abstractNumId="177">
    <w:nsid w:val="5D5BABB3"/>
    <w:multiLevelType w:val="hybridMultilevel"/>
    <w:lvl w:ilvl="0">
      <w:lvlJc w:val="left"/>
      <w:lvlText w:val="%1."/>
      <w:numFmt w:val="upperLetter"/>
      <w:start w:val="2"/>
    </w:lvl>
  </w:abstractNum>
  <w:abstractNum w:abstractNumId="178">
    <w:nsid w:val="51BF6B48"/>
    <w:multiLevelType w:val="hybridMultilevel"/>
    <w:lvl w:ilvl="0">
      <w:lvlJc w:val="left"/>
      <w:lvlText w:val="%1."/>
      <w:numFmt w:val="upperLetter"/>
      <w:start w:val="3"/>
    </w:lvl>
  </w:abstractNum>
  <w:abstractNum w:abstractNumId="179">
    <w:nsid w:val="7E0F6384"/>
    <w:multiLevelType w:val="hybridMultilevel"/>
    <w:lvl w:ilvl="0">
      <w:lvlJc w:val="left"/>
      <w:lvlText w:val="%1."/>
      <w:numFmt w:val="upperLetter"/>
      <w:start w:val="4"/>
    </w:lvl>
    <w:lvl w:ilvl="1">
      <w:lvlJc w:val="left"/>
      <w:lvlText w:val="%2."/>
      <w:numFmt w:val="decimal"/>
      <w:start w:val="1"/>
    </w:lvl>
  </w:abstractNum>
  <w:abstractNum w:abstractNumId="180">
    <w:nsid w:val="2B4B8B53"/>
    <w:multiLevelType w:val="hybridMultilevel"/>
    <w:lvl w:ilvl="0">
      <w:lvlJc w:val="left"/>
      <w:lvlText w:val="%1."/>
      <w:numFmt w:val="decimal"/>
      <w:start w:val="2"/>
    </w:lvl>
  </w:abstractNum>
  <w:abstractNum w:abstractNumId="181">
    <w:nsid w:val="72E3413A"/>
    <w:multiLevelType w:val="hybridMultilevel"/>
    <w:lvl w:ilvl="0">
      <w:lvlJc w:val="left"/>
      <w:lvlText w:val="%1."/>
      <w:numFmt w:val="decimal"/>
      <w:start w:val="1"/>
    </w:lvl>
    <w:lvl w:ilvl="1">
      <w:lvlJc w:val="left"/>
      <w:lvlText w:val="(%2)"/>
      <w:numFmt w:val="lowerLetter"/>
      <w:start w:val="1"/>
    </w:lvl>
  </w:abstractNum>
  <w:abstractNum w:abstractNumId="182">
    <w:nsid w:val="116AE494"/>
    <w:multiLevelType w:val="hybridMultilevel"/>
    <w:lvl w:ilvl="0">
      <w:lvlJc w:val="left"/>
      <w:lvlText w:val="%1."/>
      <w:numFmt w:val="decimal"/>
      <w:start w:val="6"/>
    </w:lvl>
  </w:abstractNum>
  <w:abstractNum w:abstractNumId="183">
    <w:nsid w:val="3494B2FB"/>
    <w:multiLevelType w:val="hybridMultilevel"/>
    <w:lvl w:ilvl="0">
      <w:lvlJc w:val="left"/>
      <w:lvlText w:val="●"/>
      <w:numFmt w:val="bullet"/>
      <w:start w:val="1"/>
    </w:lvl>
  </w:abstractNum>
  <w:abstractNum w:abstractNumId="184">
    <w:nsid w:val="B13A31"/>
    <w:multiLevelType w:val="hybridMultilevel"/>
    <w:lvl w:ilvl="0">
      <w:lvlJc w:val="left"/>
      <w:lvlText w:val="●"/>
      <w:numFmt w:val="bullet"/>
      <w:start w:val="1"/>
    </w:lvl>
  </w:abstractNum>
  <w:abstractNum w:abstractNumId="185">
    <w:nsid w:val="64429599"/>
    <w:multiLevelType w:val="hybridMultilevel"/>
    <w:lvl w:ilvl="0">
      <w:lvlJc w:val="left"/>
      <w:lvlText w:val="%1."/>
      <w:numFmt w:val="decimal"/>
      <w:start w:val="1"/>
    </w:lvl>
    <w:lvl w:ilvl="1">
      <w:lvlJc w:val="left"/>
      <w:lvlText w:val="(%2)"/>
      <w:numFmt w:val="lowerLetter"/>
      <w:start w:val="1"/>
    </w:lvl>
  </w:abstractNum>
  <w:abstractNum w:abstractNumId="186">
    <w:nsid w:val="631F1690"/>
    <w:multiLevelType w:val="hybridMultilevel"/>
    <w:lvl w:ilvl="0">
      <w:lvlJc w:val="left"/>
      <w:lvlText w:val="%1."/>
      <w:numFmt w:val="decimal"/>
      <w:start w:val="1"/>
    </w:lvl>
    <w:lvl w:ilvl="1">
      <w:lvlJc w:val="left"/>
      <w:lvlText w:val="(%2)"/>
      <w:numFmt w:val="lowerLetter"/>
      <w:start w:val="1"/>
    </w:lvl>
  </w:abstractNum>
  <w:abstractNum w:abstractNumId="187">
    <w:nsid w:val="25973E32"/>
    <w:multiLevelType w:val="hybridMultilevel"/>
    <w:lvl w:ilvl="0">
      <w:lvlJc w:val="left"/>
      <w:lvlText w:val="(%1)"/>
      <w:numFmt w:val="decimal"/>
      <w:start w:val="1"/>
    </w:lvl>
  </w:abstractNum>
  <w:abstractNum w:abstractNumId="188">
    <w:nsid w:val="EAD6F5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30" Type="http://schemas.openxmlformats.org/officeDocument/2006/relationships/image" Target="media/image213.png"/><Relationship Id="rId233" Type="http://schemas.openxmlformats.org/officeDocument/2006/relationships/image" Target="media/image214.png"/><Relationship Id="rId234" Type="http://schemas.openxmlformats.org/officeDocument/2006/relationships/image" Target="media/image215.png"/><Relationship Id="rId235" Type="http://schemas.openxmlformats.org/officeDocument/2006/relationships/image" Target="media/image216.png"/><Relationship Id="rId236" Type="http://schemas.openxmlformats.org/officeDocument/2006/relationships/image" Target="media/image217.png"/><Relationship Id="rId237" Type="http://schemas.openxmlformats.org/officeDocument/2006/relationships/image" Target="media/image218.png"/><Relationship Id="rId238" Type="http://schemas.openxmlformats.org/officeDocument/2006/relationships/image" Target="media/image219.png"/><Relationship Id="rId239" Type="http://schemas.openxmlformats.org/officeDocument/2006/relationships/image" Target="media/image220.png"/><Relationship Id="rId240" Type="http://schemas.openxmlformats.org/officeDocument/2006/relationships/image" Target="media/image221.png"/><Relationship Id="rId241" Type="http://schemas.openxmlformats.org/officeDocument/2006/relationships/image" Target="media/image222.png"/><Relationship Id="rId242" Type="http://schemas.openxmlformats.org/officeDocument/2006/relationships/image" Target="media/image223.png"/><Relationship Id="rId243" Type="http://schemas.openxmlformats.org/officeDocument/2006/relationships/image" Target="media/image224.png"/><Relationship Id="rId244" Type="http://schemas.openxmlformats.org/officeDocument/2006/relationships/image" Target="media/image225.png"/><Relationship Id="rId245" Type="http://schemas.openxmlformats.org/officeDocument/2006/relationships/image" Target="media/image226.png"/><Relationship Id="rId246" Type="http://schemas.openxmlformats.org/officeDocument/2006/relationships/image" Target="media/image227.png"/><Relationship Id="rId247" Type="http://schemas.openxmlformats.org/officeDocument/2006/relationships/image" Target="media/image228.png"/><Relationship Id="rId248" Type="http://schemas.openxmlformats.org/officeDocument/2006/relationships/image" Target="media/image229.png"/><Relationship Id="rId249" Type="http://schemas.openxmlformats.org/officeDocument/2006/relationships/image" Target="media/image230.png"/><Relationship Id="rId250" Type="http://schemas.openxmlformats.org/officeDocument/2006/relationships/image" Target="media/image231.png"/><Relationship Id="rId251" Type="http://schemas.openxmlformats.org/officeDocument/2006/relationships/image" Target="media/image232.png"/><Relationship Id="rId252" Type="http://schemas.openxmlformats.org/officeDocument/2006/relationships/image" Target="media/image233.png"/><Relationship Id="rId253" Type="http://schemas.openxmlformats.org/officeDocument/2006/relationships/image" Target="media/image234.png"/><Relationship Id="rId254" Type="http://schemas.openxmlformats.org/officeDocument/2006/relationships/image" Target="media/image235.png"/><Relationship Id="rId255" Type="http://schemas.openxmlformats.org/officeDocument/2006/relationships/image" Target="media/image236.png"/><Relationship Id="rId256" Type="http://schemas.openxmlformats.org/officeDocument/2006/relationships/image" Target="media/image237.png"/><Relationship Id="rId257" Type="http://schemas.openxmlformats.org/officeDocument/2006/relationships/image" Target="media/image238.png"/><Relationship Id="rId258" Type="http://schemas.openxmlformats.org/officeDocument/2006/relationships/image" Target="media/image239.png"/><Relationship Id="rId259" Type="http://schemas.openxmlformats.org/officeDocument/2006/relationships/image" Target="media/image240.png"/><Relationship Id="rId260" Type="http://schemas.openxmlformats.org/officeDocument/2006/relationships/image" Target="media/image241.png"/><Relationship Id="rId261" Type="http://schemas.openxmlformats.org/officeDocument/2006/relationships/image" Target="media/image242.png"/><Relationship Id="rId262" Type="http://schemas.openxmlformats.org/officeDocument/2006/relationships/image" Target="media/image243.png"/><Relationship Id="rId263" Type="http://schemas.openxmlformats.org/officeDocument/2006/relationships/image" Target="media/image244.png"/><Relationship Id="rId264" Type="http://schemas.openxmlformats.org/officeDocument/2006/relationships/image" Target="media/image245.png"/><Relationship Id="rId265" Type="http://schemas.openxmlformats.org/officeDocument/2006/relationships/image" Target="media/image246.png"/><Relationship Id="rId266" Type="http://schemas.openxmlformats.org/officeDocument/2006/relationships/image" Target="media/image247.png"/><Relationship Id="rId267" Type="http://schemas.openxmlformats.org/officeDocument/2006/relationships/image" Target="media/image248.png"/><Relationship Id="rId268" Type="http://schemas.openxmlformats.org/officeDocument/2006/relationships/image" Target="media/image249.png"/><Relationship Id="rId269" Type="http://schemas.openxmlformats.org/officeDocument/2006/relationships/image" Target="media/image250.png"/><Relationship Id="rId270" Type="http://schemas.openxmlformats.org/officeDocument/2006/relationships/image" Target="media/image251.png"/><Relationship Id="rId271" Type="http://schemas.openxmlformats.org/officeDocument/2006/relationships/image" Target="media/image252.png"/><Relationship Id="rId272" Type="http://schemas.openxmlformats.org/officeDocument/2006/relationships/image" Target="media/image253.png"/><Relationship Id="rId273" Type="http://schemas.openxmlformats.org/officeDocument/2006/relationships/image" Target="media/image254.png"/><Relationship Id="rId274" Type="http://schemas.openxmlformats.org/officeDocument/2006/relationships/image" Target="media/image255.png"/><Relationship Id="rId275" Type="http://schemas.openxmlformats.org/officeDocument/2006/relationships/image" Target="media/image256.png"/><Relationship Id="rId276" Type="http://schemas.openxmlformats.org/officeDocument/2006/relationships/image" Target="media/image257.png"/><Relationship Id="rId277" Type="http://schemas.openxmlformats.org/officeDocument/2006/relationships/image" Target="media/image258.png"/><Relationship Id="rId278" Type="http://schemas.openxmlformats.org/officeDocument/2006/relationships/image" Target="media/image259.png"/><Relationship Id="rId279" Type="http://schemas.openxmlformats.org/officeDocument/2006/relationships/image" Target="media/image260.png"/><Relationship Id="rId280" Type="http://schemas.openxmlformats.org/officeDocument/2006/relationships/image" Target="media/image261.png"/><Relationship Id="rId281" Type="http://schemas.openxmlformats.org/officeDocument/2006/relationships/image" Target="media/image262.png"/><Relationship Id="rId282" Type="http://schemas.openxmlformats.org/officeDocument/2006/relationships/image" Target="media/image263.png"/><Relationship Id="rId283" Type="http://schemas.openxmlformats.org/officeDocument/2006/relationships/image" Target="media/image264.png"/><Relationship Id="rId284" Type="http://schemas.openxmlformats.org/officeDocument/2006/relationships/image" Target="media/image265.png"/><Relationship Id="rId285" Type="http://schemas.openxmlformats.org/officeDocument/2006/relationships/image" Target="media/image266.png"/><Relationship Id="rId286" Type="http://schemas.openxmlformats.org/officeDocument/2006/relationships/image" Target="media/image267.png"/><Relationship Id="rId287" Type="http://schemas.openxmlformats.org/officeDocument/2006/relationships/image" Target="media/image268.png"/><Relationship Id="rId288" Type="http://schemas.openxmlformats.org/officeDocument/2006/relationships/image" Target="media/image269.png"/><Relationship Id="rId289" Type="http://schemas.openxmlformats.org/officeDocument/2006/relationships/image" Target="media/image270.png"/><Relationship Id="rId290" Type="http://schemas.openxmlformats.org/officeDocument/2006/relationships/image" Target="media/image271.png"/><Relationship Id="rId291" Type="http://schemas.openxmlformats.org/officeDocument/2006/relationships/image" Target="media/image272.png"/><Relationship Id="rId292" Type="http://schemas.openxmlformats.org/officeDocument/2006/relationships/image" Target="media/image273.png"/><Relationship Id="rId293" Type="http://schemas.openxmlformats.org/officeDocument/2006/relationships/image" Target="media/image274.png"/><Relationship Id="rId294" Type="http://schemas.openxmlformats.org/officeDocument/2006/relationships/image" Target="media/image275.png"/><Relationship Id="rId295" Type="http://schemas.openxmlformats.org/officeDocument/2006/relationships/image" Target="media/image276.png"/><Relationship Id="rId296" Type="http://schemas.openxmlformats.org/officeDocument/2006/relationships/image" Target="media/image277.png"/><Relationship Id="rId297" Type="http://schemas.openxmlformats.org/officeDocument/2006/relationships/image" Target="media/image278.png"/><Relationship Id="rId298" Type="http://schemas.openxmlformats.org/officeDocument/2006/relationships/image" Target="media/image279.png"/><Relationship Id="rId299" Type="http://schemas.openxmlformats.org/officeDocument/2006/relationships/image" Target="media/image280.png"/><Relationship Id="rId300" Type="http://schemas.openxmlformats.org/officeDocument/2006/relationships/image" Target="media/image281.png"/><Relationship Id="rId301" Type="http://schemas.openxmlformats.org/officeDocument/2006/relationships/image" Target="media/image282.png"/><Relationship Id="rId302" Type="http://schemas.openxmlformats.org/officeDocument/2006/relationships/image" Target="media/image283.png"/><Relationship Id="rId303" Type="http://schemas.openxmlformats.org/officeDocument/2006/relationships/image" Target="media/image284.png"/><Relationship Id="rId304" Type="http://schemas.openxmlformats.org/officeDocument/2006/relationships/image" Target="media/image285.png"/><Relationship Id="rId305" Type="http://schemas.openxmlformats.org/officeDocument/2006/relationships/image" Target="media/image286.png"/><Relationship Id="rId306" Type="http://schemas.openxmlformats.org/officeDocument/2006/relationships/image" Target="media/image287.png"/><Relationship Id="rId307" Type="http://schemas.openxmlformats.org/officeDocument/2006/relationships/image" Target="media/image288.png"/><Relationship Id="rId308" Type="http://schemas.openxmlformats.org/officeDocument/2006/relationships/image" Target="media/image289.png"/><Relationship Id="rId309" Type="http://schemas.openxmlformats.org/officeDocument/2006/relationships/image" Target="media/image290.png"/><Relationship Id="rId310" Type="http://schemas.openxmlformats.org/officeDocument/2006/relationships/image" Target="media/image291.png"/><Relationship Id="rId311" Type="http://schemas.openxmlformats.org/officeDocument/2006/relationships/image" Target="media/image292.png"/><Relationship Id="rId312" Type="http://schemas.openxmlformats.org/officeDocument/2006/relationships/image" Target="media/image293.png"/><Relationship Id="rId313" Type="http://schemas.openxmlformats.org/officeDocument/2006/relationships/image" Target="media/image294.png"/><Relationship Id="rId314" Type="http://schemas.openxmlformats.org/officeDocument/2006/relationships/image" Target="media/image295.png"/><Relationship Id="rId315" Type="http://schemas.openxmlformats.org/officeDocument/2006/relationships/image" Target="media/image296.png"/><Relationship Id="rId316" Type="http://schemas.openxmlformats.org/officeDocument/2006/relationships/image" Target="media/image297.png"/><Relationship Id="rId317" Type="http://schemas.openxmlformats.org/officeDocument/2006/relationships/image" Target="media/image298.png"/><Relationship Id="rId318" Type="http://schemas.openxmlformats.org/officeDocument/2006/relationships/image" Target="media/image299.png"/><Relationship Id="rId319" Type="http://schemas.openxmlformats.org/officeDocument/2006/relationships/image" Target="media/image300.png"/><Relationship Id="rId320" Type="http://schemas.openxmlformats.org/officeDocument/2006/relationships/image" Target="media/image301.png"/><Relationship Id="rId321" Type="http://schemas.openxmlformats.org/officeDocument/2006/relationships/image" Target="media/image302.png"/><Relationship Id="rId322" Type="http://schemas.openxmlformats.org/officeDocument/2006/relationships/image" Target="media/image303.png"/><Relationship Id="rId323" Type="http://schemas.openxmlformats.org/officeDocument/2006/relationships/image" Target="media/image304.png"/><Relationship Id="rId324" Type="http://schemas.openxmlformats.org/officeDocument/2006/relationships/image" Target="media/image305.png"/><Relationship Id="rId325" Type="http://schemas.openxmlformats.org/officeDocument/2006/relationships/image" Target="media/image306.png"/><Relationship Id="rId326" Type="http://schemas.openxmlformats.org/officeDocument/2006/relationships/image" Target="media/image307.png"/><Relationship Id="rId327" Type="http://schemas.openxmlformats.org/officeDocument/2006/relationships/image" Target="media/image308.png"/><Relationship Id="rId328" Type="http://schemas.openxmlformats.org/officeDocument/2006/relationships/image" Target="media/image309.png"/><Relationship Id="rId329" Type="http://schemas.openxmlformats.org/officeDocument/2006/relationships/image" Target="media/image310.png"/><Relationship Id="rId330" Type="http://schemas.openxmlformats.org/officeDocument/2006/relationships/image" Target="media/image311.png"/><Relationship Id="rId331" Type="http://schemas.openxmlformats.org/officeDocument/2006/relationships/image" Target="media/image312.jpeg"/><Relationship Id="rId332" Type="http://schemas.openxmlformats.org/officeDocument/2006/relationships/image" Target="media/image313.png"/><Relationship Id="rId333" Type="http://schemas.openxmlformats.org/officeDocument/2006/relationships/image" Target="media/image314.jpeg"/><Relationship Id="rId334" Type="http://schemas.openxmlformats.org/officeDocument/2006/relationships/image" Target="media/image315.png"/><Relationship Id="rId335" Type="http://schemas.openxmlformats.org/officeDocument/2006/relationships/image" Target="media/image316.png"/><Relationship Id="rId336" Type="http://schemas.openxmlformats.org/officeDocument/2006/relationships/image" Target="media/image317.png"/><Relationship Id="rId198" Type="http://schemas.openxmlformats.org/officeDocument/2006/relationships/hyperlink" Target="https://www.sec.gov/Archives/edgar/data/1969302/000110465926038908/tm2610570d1_ex4-1.htm" TargetMode="External"/><Relationship Id="rId221" Type="http://schemas.openxmlformats.org/officeDocument/2006/relationships/hyperlink" Target="https://www.sec.gov/Archives/edgar/data/1969302/000110465924109475/tm2310344d13_ex4-3.htm" TargetMode="External"/><Relationship Id="rId222" Type="http://schemas.openxmlformats.org/officeDocument/2006/relationships/hyperlink" Target="https://www.sec.gov/Archives/edgar/data/1969302/000110465926038908/tm2610570d1_ex4-2.htm" TargetMode="External"/><Relationship Id="rId223" Type="http://schemas.openxmlformats.org/officeDocument/2006/relationships/hyperlink" Target="https://www.sec.gov/Archives/edgar/data/1969302/000141057825000895/pony-20241231xex2d4.htm" TargetMode="External"/><Relationship Id="rId224" Type="http://schemas.openxmlformats.org/officeDocument/2006/relationships/hyperlink" Target="https://www.sec.gov/Archives/edgar/data/1969302/000110465924109475/tm2310344d13_ex10-1.htm" TargetMode="External"/><Relationship Id="rId225" Type="http://schemas.openxmlformats.org/officeDocument/2006/relationships/hyperlink" Target="https://www.sec.gov/Archives/edgar/data/1969302/000110465924109475/tm2310344d13_ex10-2.htm" TargetMode="External"/><Relationship Id="rId226" Type="http://schemas.openxmlformats.org/officeDocument/2006/relationships/hyperlink" Target="https://www.sec.gov/Archives/edgar/data/1969302/000110465924109475/tm2310344d13_ex10-3.htm" TargetMode="External"/><Relationship Id="rId227" Type="http://schemas.openxmlformats.org/officeDocument/2006/relationships/hyperlink" Target="https://www.sec.gov/Archives/edgar/data/1969302/000110465924109475/tm2310344d13_ex10-16.htm" TargetMode="External"/><Relationship Id="rId228" Type="http://schemas.openxmlformats.org/officeDocument/2006/relationships/hyperlink" Target="https://www.sec.gov/Archives/edgar/data/1969302/000110465924109475/tm2310344d13_ex10-17.htm" TargetMode="External"/><Relationship Id="rId229" Type="http://schemas.openxmlformats.org/officeDocument/2006/relationships/hyperlink" Target="https://www.sec.gov/Archives/edgar/data/1969302/000110465926038908/tm2610570d1_ex10-1.htm" TargetMode="External"/><Relationship Id="rId231" Type="http://schemas.openxmlformats.org/officeDocument/2006/relationships/hyperlink" Target="https://www.sec.gov/Archives/edgar/data/1969302/000141057825000895/pony-20241231xex97d1.htm" TargetMode="External"/><Relationship Id="rId232" Type="http://schemas.openxmlformats.org/officeDocument/2006/relationships/hyperlink" Target="https://www.sec.gov/Archives/edgar/data/1969302/000110465924109475/tm2310344d13_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2026-04-22T06:48:40Z</dcterms:created>
  <dcterms:modified xsi:type="dcterms:W3CDTF">2026-04-22T06:48:40Z</dcterms:modified>
</cp:coreProperties>
</file>