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186690</wp:posOffset>
            </wp:positionH>
            <wp:positionV relativeFrom="page">
              <wp:posOffset>241935</wp:posOffset>
            </wp:positionV>
            <wp:extent cx="7174865" cy="12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12065"/>
                    </a:xfrm>
                    <a:prstGeom prst="rect">
                      <a:avLst/>
                    </a:prstGeom>
                    <a:noFill/>
                  </pic:spPr>
                </pic:pic>
              </a:graphicData>
            </a:graphic>
          </wp:anchor>
        </w:drawing>
        <w:drawing>
          <wp:anchor simplePos="0" relativeHeight="251657728" behindDoc="1" locked="0" layoutInCell="0" allowOverlap="1">
            <wp:simplePos x="0" y="0"/>
            <wp:positionH relativeFrom="page">
              <wp:posOffset>186690</wp:posOffset>
            </wp:positionH>
            <wp:positionV relativeFrom="page">
              <wp:posOffset>266065</wp:posOffset>
            </wp:positionV>
            <wp:extent cx="717486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5715"/>
                    </a:xfrm>
                    <a:prstGeom prst="rect">
                      <a:avLst/>
                    </a:prstGeom>
                    <a:noFill/>
                  </pic:spPr>
                </pic:pic>
              </a:graphicData>
            </a:graphic>
          </wp:anchor>
        </w:drawing>
        <w:t>UNITED STATES</w:t>
      </w:r>
    </w:p>
    <w:p>
      <w:pPr>
        <w:spacing w:after="0" w:line="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2684780</wp:posOffset>
            </wp:positionH>
            <wp:positionV relativeFrom="paragraph">
              <wp:posOffset>100330</wp:posOffset>
            </wp:positionV>
            <wp:extent cx="179832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8320" cy="5715"/>
                    </a:xfrm>
                    <a:prstGeom prst="rect">
                      <a:avLst/>
                    </a:prstGeom>
                    <a:noFill/>
                  </pic:spPr>
                </pic:pic>
              </a:graphicData>
            </a:graphic>
          </wp:anchor>
        </w:drawing>
      </w:r>
    </w:p>
    <w:p>
      <w:pPr>
        <w:spacing w:after="0" w:line="272"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2684780</wp:posOffset>
            </wp:positionH>
            <wp:positionV relativeFrom="paragraph">
              <wp:posOffset>114300</wp:posOffset>
            </wp:positionV>
            <wp:extent cx="179832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8320" cy="5715"/>
                    </a:xfrm>
                    <a:prstGeom prst="rect">
                      <a:avLst/>
                    </a:prstGeom>
                    <a:noFill/>
                  </pic:spPr>
                </pic:pic>
              </a:graphicData>
            </a:graphic>
          </wp:anchor>
        </w:drawing>
      </w:r>
    </w:p>
    <w:p>
      <w:pPr>
        <w:spacing w:after="0" w:line="3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REPORT OF FOREIGN PRIVATE ISSUER</w:t>
      </w:r>
    </w:p>
    <w:p>
      <w:pPr>
        <w:spacing w:after="0" w:line="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PURSUANT TO RULE 13a-16 OR 15d-16 UNDER</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THE SECURITIES EXCHANGE ACT OF 1934</w:t>
      </w:r>
    </w:p>
    <w:p>
      <w:pPr>
        <w:spacing w:after="0" w:line="1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For the month of May 2026</w:t>
      </w:r>
    </w:p>
    <w:p>
      <w:pPr>
        <w:spacing w:after="0" w:line="159"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2"/>
          <w:szCs w:val="12"/>
          <w:b w:val="1"/>
          <w:bCs w:val="1"/>
          <w:color w:val="auto"/>
        </w:rPr>
        <w:t>Commission file number: 001-42409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2684780</wp:posOffset>
            </wp:positionH>
            <wp:positionV relativeFrom="paragraph">
              <wp:posOffset>110490</wp:posOffset>
            </wp:positionV>
            <wp:extent cx="179832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8320" cy="5715"/>
                    </a:xfrm>
                    <a:prstGeom prst="rect">
                      <a:avLst/>
                    </a:prstGeom>
                    <a:noFill/>
                  </pic:spPr>
                </pic:pic>
              </a:graphicData>
            </a:graphic>
          </wp:anchor>
        </w:drawing>
      </w:r>
    </w:p>
    <w:p>
      <w:pPr>
        <w:spacing w:after="0" w:line="2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Pony AI Inc.</w:t>
      </w:r>
    </w:p>
    <w:p>
      <w:pPr>
        <w:spacing w:after="0" w:line="32"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2684780</wp:posOffset>
            </wp:positionH>
            <wp:positionV relativeFrom="paragraph">
              <wp:posOffset>100330</wp:posOffset>
            </wp:positionV>
            <wp:extent cx="179832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8320" cy="5715"/>
                    </a:xfrm>
                    <a:prstGeom prst="rect">
                      <a:avLst/>
                    </a:prstGeom>
                    <a:noFill/>
                  </pic:spPr>
                </pic:pic>
              </a:graphicData>
            </a:graphic>
          </wp:anchor>
        </w:drawing>
      </w:r>
    </w:p>
    <w:p>
      <w:pPr>
        <w:spacing w:after="0" w:line="29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1301 Pearl Development Building</w:t>
      </w:r>
    </w:p>
    <w:p>
      <w:pPr>
        <w:spacing w:after="0" w:line="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1 Mingzhu 1st Street, Hengli Town, Nansha District</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Guangzhou, People’s Republic of China, 511458</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2684780</wp:posOffset>
            </wp:positionH>
            <wp:positionV relativeFrom="paragraph">
              <wp:posOffset>101600</wp:posOffset>
            </wp:positionV>
            <wp:extent cx="179832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8320" cy="5715"/>
                    </a:xfrm>
                    <a:prstGeom prst="rect">
                      <a:avLst/>
                    </a:prstGeom>
                    <a:noFill/>
                  </pic:spPr>
                </pic:pic>
              </a:graphicData>
            </a:graphic>
          </wp:anchor>
        </w:drawing>
      </w:r>
    </w:p>
    <w:p>
      <w:pPr>
        <w:spacing w:after="0" w:line="30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files or will file annual reports under cover Form 20-F or Form 40-F.</w:t>
      </w:r>
    </w:p>
    <w:p>
      <w:pPr>
        <w:spacing w:after="0" w:line="133" w:lineRule="exact"/>
        <w:rPr>
          <w:sz w:val="24"/>
          <w:szCs w:val="24"/>
          <w:color w:val="auto"/>
        </w:rPr>
      </w:pPr>
    </w:p>
    <w:p>
      <w:pPr>
        <w:ind w:left="4760"/>
        <w:spacing w:after="0" w:line="138" w:lineRule="exact"/>
        <w:tabs>
          <w:tab w:leader="none" w:pos="5820" w:val="left"/>
        </w:tabs>
        <w:rPr>
          <w:sz w:val="20"/>
          <w:szCs w:val="20"/>
          <w:color w:val="auto"/>
        </w:rPr>
      </w:pPr>
      <w:r>
        <w:rPr>
          <w:rFonts w:ascii="Times New Roman" w:cs="Times New Roman" w:eastAsia="Times New Roman" w:hAnsi="Times New Roman"/>
          <w:sz w:val="12"/>
          <w:szCs w:val="12"/>
          <w:color w:val="auto"/>
        </w:rPr>
        <w:t xml:space="preserve">Form 20-F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2"/>
          <w:szCs w:val="12"/>
          <w:color w:val="auto"/>
        </w:rPr>
        <w:t xml:space="preserve">Form 40-F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17486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7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143510</wp:posOffset>
            </wp:positionV>
            <wp:extent cx="7174865" cy="120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120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17486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0159"/>
          </w:cols>
          <w:pgMar w:left="300" w:top="561" w:right="1440"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EXPLANATORY NOTE</w:t>
      </w:r>
    </w:p>
    <w:p>
      <w:pPr>
        <w:spacing w:after="0" w:line="161" w:lineRule="exact"/>
        <w:rPr>
          <w:sz w:val="20"/>
          <w:szCs w:val="20"/>
          <w:color w:val="auto"/>
        </w:rPr>
      </w:pPr>
    </w:p>
    <w:p>
      <w:pPr>
        <w:ind w:firstLine="223"/>
        <w:spacing w:after="0" w:line="297" w:lineRule="auto"/>
        <w:rPr>
          <w:sz w:val="20"/>
          <w:szCs w:val="20"/>
          <w:color w:val="auto"/>
        </w:rPr>
      </w:pPr>
      <w:r>
        <w:rPr>
          <w:rFonts w:ascii="Times New Roman" w:cs="Times New Roman" w:eastAsia="Times New Roman" w:hAnsi="Times New Roman"/>
          <w:sz w:val="12"/>
          <w:szCs w:val="12"/>
          <w:color w:val="auto"/>
        </w:rPr>
        <w:t>We submitted a monthly return form dated May 7, 2026 in relation to the movements in our authorized share capital and issued shares in April 2026 to The Stock Exchange of Hong Kong Limited. For details, please refer to the exhibit to this current report on 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274955</wp:posOffset>
            </wp:positionV>
            <wp:extent cx="717486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240"/>
          </w:cols>
          <w:pgMar w:left="300" w:top="663"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180" w:type="dxa"/>
            <w:vAlign w:val="bottom"/>
            <w:gridSpan w:val="2"/>
          </w:tcPr>
          <w:p>
            <w:pPr>
              <w:ind w:left="4040"/>
              <w:spacing w:after="0"/>
              <w:rPr>
                <w:sz w:val="20"/>
                <w:szCs w:val="20"/>
                <w:color w:val="auto"/>
              </w:rPr>
            </w:pPr>
            <w:r>
              <w:rPr>
                <w:rFonts w:ascii="Times New Roman" w:cs="Times New Roman" w:eastAsia="Times New Roman" w:hAnsi="Times New Roman"/>
                <w:sz w:val="12"/>
                <w:szCs w:val="12"/>
                <w:b w:val="1"/>
                <w:bCs w:val="1"/>
                <w:color w:val="auto"/>
              </w:rPr>
              <w:t>EXHIBIT INDEX</w:t>
            </w:r>
          </w:p>
        </w:tc>
      </w:tr>
      <w:tr>
        <w:trPr>
          <w:trHeight w:val="297"/>
        </w:trPr>
        <w:tc>
          <w:tcPr>
            <w:tcW w:w="8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10440" w:type="dxa"/>
            <w:vAlign w:val="bottom"/>
            <w:gridSpan w:val="3"/>
          </w:tcPr>
          <w:p>
            <w:pPr>
              <w:ind w:left="26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70"/>
        </w:trPr>
        <w:tc>
          <w:tcPr>
            <w:tcW w:w="86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1</w:t>
            </w:r>
          </w:p>
        </w:tc>
        <w:tc>
          <w:tcPr>
            <w:tcW w:w="10440" w:type="dxa"/>
            <w:vAlign w:val="bottom"/>
            <w:gridSpan w:val="3"/>
          </w:tcPr>
          <w:p>
            <w:pPr>
              <w:ind w:left="260"/>
              <w:spacing w:after="0"/>
              <w:rPr>
                <w:sz w:val="20"/>
                <w:szCs w:val="20"/>
                <w:color w:val="auto"/>
              </w:rPr>
            </w:pPr>
            <w:r>
              <w:rPr>
                <w:rFonts w:ascii="Times New Roman" w:cs="Times New Roman" w:eastAsia="Times New Roman" w:hAnsi="Times New Roman"/>
                <w:sz w:val="12"/>
                <w:szCs w:val="12"/>
                <w:color w:val="0000EE"/>
              </w:rPr>
              <w:t>Monthly Return for Equity Issuer and Hong Kong Depositary Receipts listed under Chapter 19B of the Exchange Listing Rules on Movements in Securities</w:t>
            </w:r>
          </w:p>
        </w:tc>
      </w:tr>
      <w:tr>
        <w:trPr>
          <w:trHeight w:val="472"/>
        </w:trPr>
        <w:tc>
          <w:tcPr>
            <w:tcW w:w="220" w:type="dxa"/>
            <w:vAlign w:val="bottom"/>
            <w:tcBorders>
              <w:top w:val="single" w:sz="8" w:color="0000EE"/>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740" w:type="dxa"/>
            <w:vAlign w:val="bottom"/>
            <w:tcBorders>
              <w:top w:val="single" w:sz="8" w:color="0000EE"/>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63" w:right="29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280" w:type="dxa"/>
            <w:vAlign w:val="bottom"/>
          </w:tcPr>
          <w:p>
            <w:pPr>
              <w:spacing w:after="0"/>
              <w:rPr>
                <w:sz w:val="13"/>
                <w:szCs w:val="13"/>
                <w:color w:val="auto"/>
              </w:rPr>
            </w:pPr>
          </w:p>
        </w:tc>
        <w:tc>
          <w:tcPr>
            <w:tcW w:w="8020" w:type="dxa"/>
            <w:vAlign w:val="bottom"/>
            <w:gridSpan w:val="2"/>
          </w:tcPr>
          <w:p>
            <w:pPr>
              <w:ind w:left="2360"/>
              <w:spacing w:after="0"/>
              <w:rPr>
                <w:sz w:val="20"/>
                <w:szCs w:val="20"/>
                <w:color w:val="auto"/>
              </w:rPr>
            </w:pPr>
            <w:r>
              <w:rPr>
                <w:rFonts w:ascii="Times New Roman" w:cs="Times New Roman" w:eastAsia="Times New Roman" w:hAnsi="Times New Roman"/>
                <w:sz w:val="12"/>
                <w:szCs w:val="12"/>
                <w:color w:val="auto"/>
              </w:rPr>
              <w:t>Pony AI Inc.</w:t>
            </w:r>
          </w:p>
        </w:tc>
      </w:tr>
      <w:tr>
        <w:trPr>
          <w:trHeight w:val="298"/>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Date: May 7, 2026</w:t>
            </w:r>
          </w:p>
        </w:tc>
        <w:tc>
          <w:tcPr>
            <w:tcW w:w="8020" w:type="dxa"/>
            <w:vAlign w:val="bottom"/>
            <w:gridSpan w:val="2"/>
          </w:tcPr>
          <w:p>
            <w:pPr>
              <w:ind w:left="2360"/>
              <w:spacing w:after="0"/>
              <w:rPr>
                <w:sz w:val="20"/>
                <w:szCs w:val="20"/>
                <w:color w:val="auto"/>
              </w:rPr>
            </w:pPr>
            <w:r>
              <w:rPr>
                <w:rFonts w:ascii="Times New Roman" w:cs="Times New Roman" w:eastAsia="Times New Roman" w:hAnsi="Times New Roman"/>
                <w:sz w:val="12"/>
                <w:szCs w:val="12"/>
                <w:color w:val="auto"/>
              </w:rPr>
              <w:t>By:   /s/ Jun Peng</w:t>
            </w:r>
          </w:p>
        </w:tc>
      </w:tr>
      <w:tr>
        <w:trPr>
          <w:trHeight w:val="126"/>
        </w:trPr>
        <w:tc>
          <w:tcPr>
            <w:tcW w:w="32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5300" w:type="dxa"/>
            <w:vAlign w:val="bottom"/>
            <w:tcBorders>
              <w:top w:val="single" w:sz="8" w:color="auto"/>
            </w:tcBorders>
          </w:tcPr>
          <w:p>
            <w:pPr>
              <w:spacing w:after="0" w:line="126" w:lineRule="exact"/>
              <w:rPr>
                <w:sz w:val="20"/>
                <w:szCs w:val="20"/>
                <w:color w:val="auto"/>
              </w:rPr>
            </w:pPr>
            <w:r>
              <w:rPr>
                <w:rFonts w:ascii="Times New Roman" w:cs="Times New Roman" w:eastAsia="Times New Roman" w:hAnsi="Times New Roman"/>
                <w:sz w:val="12"/>
                <w:szCs w:val="12"/>
                <w:color w:val="auto"/>
              </w:rPr>
              <w:t>Name: Dr. Jun Peng</w:t>
            </w:r>
          </w:p>
        </w:tc>
      </w:tr>
      <w:tr>
        <w:trPr>
          <w:trHeight w:val="160"/>
        </w:trPr>
        <w:tc>
          <w:tcPr>
            <w:tcW w:w="328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2"/>
                <w:szCs w:val="12"/>
                <w:color w:val="auto"/>
              </w:rPr>
              <w:t>Title:  Chairman of the Board, Chief Executive Officer</w:t>
            </w:r>
          </w:p>
        </w:tc>
      </w:tr>
      <w:tr>
        <w:trPr>
          <w:trHeight w:val="465"/>
        </w:trPr>
        <w:tc>
          <w:tcPr>
            <w:tcW w:w="32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63" w:right="299" w:bottom="1440" w:gutter="0" w:footer="0" w:header="0"/>
        </w:sectPr>
      </w:pPr>
    </w:p>
    <w:bookmarkStart w:id="4" w:name="page5"/>
    <w:bookmarkEnd w:id="4"/>
    <w:p>
      <w:pPr>
        <w:ind w:left="9520"/>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33655</wp:posOffset>
            </wp:positionV>
            <wp:extent cx="6885940" cy="73107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85940" cy="7310755"/>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73164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85940" cy="7316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73164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85940" cy="7316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73164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85940" cy="7316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73164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85940" cy="7316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73164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85940" cy="7316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73164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85940" cy="7316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73164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85940" cy="7316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73164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85940" cy="7316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73164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85940" cy="7316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73164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85940" cy="7316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73164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85940" cy="73164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2026-05-07T06:18:48Z</dcterms:created>
  <dcterms:modified xsi:type="dcterms:W3CDTF">2026-05-07T06:18:48Z</dcterms:modified>
</cp:coreProperties>
</file>