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0002067495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283"/>
              <w:jc w:val="left"/>
              <w:rPr/>
            </w:pPr>
            <w:r>
              <w:rPr/>
              <w:t>Name of Issuer</w:t>
            </w:r>
          </w:p>
        </w:tc>
        <w:tc>
          <w:tcPr>
            <w:tcW w:w="4453" w:type="dxa"/>
            <w:tcBorders/>
            <w:vAlign w:val="center"/>
          </w:tcPr>
          <w:p>
            <w:pPr>
              <w:pStyle w:val="TableContents"/>
              <w:bidi w:val="0"/>
              <w:spacing w:before="0" w:after="0"/>
              <w:jc w:val="left"/>
              <w:rPr/>
            </w:pPr>
            <w:r>
              <w:rPr/>
              <w:t>PONY AI INC.</w:t>
            </w:r>
          </w:p>
        </w:tc>
      </w:tr>
      <w:tr>
        <w:trPr/>
        <w:tc>
          <w:tcPr>
            <w:tcW w:w="5752" w:type="dxa"/>
            <w:tcBorders/>
            <w:vAlign w:val="center"/>
          </w:tcPr>
          <w:p>
            <w:pPr>
              <w:pStyle w:val="TableContents"/>
              <w:bidi w:val="0"/>
              <w:spacing w:before="0" w:after="283"/>
              <w:jc w:val="left"/>
              <w:rPr/>
            </w:pPr>
            <w:r>
              <w:rPr/>
              <w:t>SEC File Number</w:t>
            </w:r>
          </w:p>
        </w:tc>
        <w:tc>
          <w:tcPr>
            <w:tcW w:w="4453" w:type="dxa"/>
            <w:tcBorders/>
            <w:vAlign w:val="center"/>
          </w:tcPr>
          <w:p>
            <w:pPr>
              <w:pStyle w:val="TableContents"/>
              <w:bidi w:val="0"/>
              <w:spacing w:before="0" w:after="0"/>
              <w:jc w:val="left"/>
              <w:rPr/>
            </w:pPr>
            <w:r>
              <w:rPr/>
              <w:t>001-42409</w:t>
            </w:r>
          </w:p>
        </w:tc>
      </w:tr>
      <w:tr>
        <w:trPr/>
        <w:tc>
          <w:tcPr>
            <w:tcW w:w="5752" w:type="dxa"/>
            <w:tcBorders/>
            <w:vAlign w:val="center"/>
          </w:tcPr>
          <w:p>
            <w:pPr>
              <w:pStyle w:val="TableContents"/>
              <w:bidi w:val="0"/>
              <w:spacing w:before="0" w:after="283"/>
              <w:jc w:val="left"/>
              <w:rPr/>
            </w:pPr>
            <w:r>
              <w:rPr/>
              <w:t>Address of Issuer</w:t>
            </w:r>
          </w:p>
        </w:tc>
        <w:tc>
          <w:tcPr>
            <w:tcW w:w="4453" w:type="dxa"/>
            <w:tcBorders/>
            <w:vAlign w:val="center"/>
          </w:tcPr>
          <w:p>
            <w:pPr>
              <w:pStyle w:val="TableContents"/>
              <w:bidi w:val="0"/>
              <w:spacing w:before="0" w:after="0"/>
              <w:jc w:val="left"/>
              <w:rPr/>
            </w:pPr>
            <w:r>
              <w:rPr/>
              <w:t>1301 Pearl Development Bldg. 1</w:t>
              <w:br/>
              <w:t>Mingzhu 1st ST, Hengli TWN, Nansha DIST</w:t>
              <w:br/>
              <w:t>Guangzhou</w:t>
              <w:br/>
              <w:t xml:space="preserve">CHINA </w:t>
              <w:br/>
              <w:t>511458</w:t>
            </w:r>
          </w:p>
        </w:tc>
      </w:tr>
      <w:tr>
        <w:trPr/>
        <w:tc>
          <w:tcPr>
            <w:tcW w:w="5752" w:type="dxa"/>
            <w:tcBorders/>
            <w:vAlign w:val="center"/>
          </w:tcPr>
          <w:p>
            <w:pPr>
              <w:pStyle w:val="TableContents"/>
              <w:bidi w:val="0"/>
              <w:spacing w:before="0" w:after="283"/>
              <w:jc w:val="left"/>
              <w:rPr/>
            </w:pPr>
            <w:r>
              <w:rPr/>
              <w:t>Phone</w:t>
            </w:r>
          </w:p>
        </w:tc>
        <w:tc>
          <w:tcPr>
            <w:tcW w:w="4453" w:type="dxa"/>
            <w:tcBorders/>
            <w:vAlign w:val="center"/>
          </w:tcPr>
          <w:p>
            <w:pPr>
              <w:pStyle w:val="TableContents"/>
              <w:bidi w:val="0"/>
              <w:spacing w:before="0" w:after="0"/>
              <w:jc w:val="left"/>
              <w:rPr/>
            </w:pPr>
            <w:r>
              <w:rPr/>
              <w:t>86-020-3466-7656</w:t>
            </w:r>
          </w:p>
        </w:tc>
      </w:tr>
      <w:tr>
        <w:trPr/>
        <w:tc>
          <w:tcPr>
            <w:tcW w:w="5752" w:type="dxa"/>
            <w:tcBorders/>
            <w:vAlign w:val="center"/>
          </w:tcPr>
          <w:p>
            <w:pPr>
              <w:pStyle w:val="TableContents"/>
              <w:bidi w:val="0"/>
              <w:spacing w:before="0" w:after="283"/>
              <w:jc w:val="left"/>
              <w:rPr/>
            </w:pPr>
            <w:r>
              <w:rPr/>
              <w:t>Name of Person for Whose Account the Securities are To Be Sold</w:t>
            </w:r>
          </w:p>
        </w:tc>
        <w:tc>
          <w:tcPr>
            <w:tcW w:w="4453" w:type="dxa"/>
            <w:tcBorders/>
            <w:vAlign w:val="center"/>
          </w:tcPr>
          <w:p>
            <w:pPr>
              <w:pStyle w:val="TableContents"/>
              <w:bidi w:val="0"/>
              <w:spacing w:before="0" w:after="0"/>
              <w:jc w:val="left"/>
              <w:rPr/>
            </w:pPr>
            <w:r>
              <w:rPr/>
              <w:t>Jun Peng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52" w:type="dxa"/>
            <w:tcBorders/>
            <w:vAlign w:val="center"/>
          </w:tcPr>
          <w:p>
            <w:pPr>
              <w:pStyle w:val="TableContents"/>
              <w:bidi w:val="0"/>
              <w:spacing w:before="0" w:after="283"/>
              <w:jc w:val="left"/>
              <w:rPr/>
            </w:pPr>
            <w:r>
              <w:rPr/>
              <w:t>Relationship to Issuer</w:t>
            </w:r>
          </w:p>
        </w:tc>
        <w:tc>
          <w:tcPr>
            <w:tcW w:w="4453" w:type="dxa"/>
            <w:tcBorders/>
            <w:vAlign w:val="center"/>
          </w:tcPr>
          <w:p>
            <w:pPr>
              <w:pStyle w:val="TableContents"/>
              <w:bidi w:val="0"/>
              <w:spacing w:before="0" w:after="0"/>
              <w:jc w:val="left"/>
              <w:rPr/>
            </w:pPr>
            <w:r>
              <w:rPr/>
              <w:t>Director &amp;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4"/>
        <w:gridCol w:w="1574"/>
        <w:gridCol w:w="1396"/>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4"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6"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ADS (each ADS represents one Class A ordinary share)</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3000000</w:t>
            </w:r>
          </w:p>
        </w:tc>
        <w:tc>
          <w:tcPr>
            <w:tcW w:w="1391" w:type="dxa"/>
            <w:tcBorders/>
            <w:vAlign w:val="center"/>
          </w:tcPr>
          <w:p>
            <w:pPr>
              <w:pStyle w:val="TableContents"/>
              <w:bidi w:val="0"/>
              <w:spacing w:before="0" w:after="283"/>
              <w:jc w:val="left"/>
              <w:rPr/>
            </w:pPr>
            <w:r>
              <w:rPr/>
              <w:t>19620000</w:t>
            </w:r>
          </w:p>
        </w:tc>
        <w:tc>
          <w:tcPr>
            <w:tcW w:w="1564" w:type="dxa"/>
            <w:tcBorders/>
            <w:vAlign w:val="center"/>
          </w:tcPr>
          <w:p>
            <w:pPr>
              <w:pStyle w:val="TableContents"/>
              <w:bidi w:val="0"/>
              <w:spacing w:before="0" w:after="283"/>
              <w:jc w:val="left"/>
              <w:rPr/>
            </w:pPr>
            <w:r>
              <w:rPr/>
              <w:t>354095390</w:t>
            </w:r>
          </w:p>
        </w:tc>
        <w:tc>
          <w:tcPr>
            <w:tcW w:w="1574" w:type="dxa"/>
            <w:tcBorders/>
            <w:vAlign w:val="center"/>
          </w:tcPr>
          <w:p>
            <w:pPr>
              <w:pStyle w:val="TableContents"/>
              <w:bidi w:val="0"/>
              <w:spacing w:before="0" w:after="283"/>
              <w:jc w:val="left"/>
              <w:rPr/>
            </w:pPr>
            <w:r>
              <w:rPr/>
              <w:t>09/30/2026</w:t>
            </w:r>
          </w:p>
        </w:tc>
        <w:tc>
          <w:tcPr>
            <w:tcW w:w="139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w:t>
            </w:r>
          </w:p>
        </w:tc>
        <w:tc>
          <w:tcPr>
            <w:tcW w:w="1137" w:type="dxa"/>
            <w:tcBorders/>
            <w:vAlign w:val="center"/>
          </w:tcPr>
          <w:p>
            <w:pPr>
              <w:pStyle w:val="TableContents"/>
              <w:bidi w:val="0"/>
              <w:spacing w:before="0" w:after="283"/>
              <w:jc w:val="left"/>
              <w:rPr/>
            </w:pPr>
            <w:r>
              <w:rPr/>
              <w:t>11/30/2016</w:t>
            </w:r>
          </w:p>
        </w:tc>
        <w:tc>
          <w:tcPr>
            <w:tcW w:w="1510" w:type="dxa"/>
            <w:tcBorders/>
            <w:vAlign w:val="center"/>
          </w:tcPr>
          <w:p>
            <w:pPr>
              <w:pStyle w:val="TableContents"/>
              <w:bidi w:val="0"/>
              <w:spacing w:before="0" w:after="283"/>
              <w:jc w:val="left"/>
              <w:rPr/>
            </w:pPr>
            <w:r>
              <w:rPr/>
              <w:t>ESOP</w:t>
            </w:r>
          </w:p>
        </w:tc>
        <w:tc>
          <w:tcPr>
            <w:tcW w:w="1222" w:type="dxa"/>
            <w:tcBorders/>
            <w:vAlign w:val="center"/>
          </w:tcPr>
          <w:p>
            <w:pPr>
              <w:pStyle w:val="TableContents"/>
              <w:bidi w:val="0"/>
              <w:spacing w:before="0" w:after="283"/>
              <w:jc w:val="left"/>
              <w:rPr/>
            </w:pPr>
            <w:r>
              <w:rPr/>
              <w:t>Pony AI Inc.</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3000000</w:t>
            </w:r>
          </w:p>
        </w:tc>
        <w:tc>
          <w:tcPr>
            <w:tcW w:w="1080" w:type="dxa"/>
            <w:tcBorders/>
            <w:vAlign w:val="center"/>
          </w:tcPr>
          <w:p>
            <w:pPr>
              <w:pStyle w:val="TableContents"/>
              <w:bidi w:val="0"/>
              <w:spacing w:before="0" w:after="283"/>
              <w:jc w:val="left"/>
              <w:rPr/>
            </w:pPr>
            <w:r>
              <w:rPr/>
              <w:t>11/30/2016</w:t>
            </w:r>
          </w:p>
        </w:tc>
        <w:tc>
          <w:tcPr>
            <w:tcW w:w="12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60"/>
        <w:gridCol w:w="9145"/>
      </w:tblGrid>
      <w:tr>
        <w:trPr/>
        <w:tc>
          <w:tcPr>
            <w:tcW w:w="1060" w:type="dxa"/>
            <w:tcBorders/>
            <w:vAlign w:val="center"/>
          </w:tcPr>
          <w:p>
            <w:pPr>
              <w:pStyle w:val="TableContents"/>
              <w:bidi w:val="0"/>
              <w:spacing w:before="0" w:after="283"/>
              <w:jc w:val="left"/>
              <w:rPr/>
            </w:pPr>
            <w:r>
              <w:rPr/>
              <w:t>Remarks</w:t>
            </w:r>
          </w:p>
        </w:tc>
        <w:tc>
          <w:tcPr>
            <w:tcW w:w="9145" w:type="dxa"/>
            <w:tcBorders/>
            <w:vAlign w:val="center"/>
          </w:tcPr>
          <w:p>
            <w:pPr>
              <w:pStyle w:val="TableContents"/>
              <w:bidi w:val="0"/>
              <w:spacing w:before="0" w:after="0"/>
              <w:jc w:val="left"/>
              <w:rPr/>
            </w:pPr>
            <w:r>
              <w:rPr/>
              <w:t>In accordance with the procedures described in the Commission's interpretive letter to Goldman, Sachs &amp; Co. dated December 20, 1999 and the Commission's interpretative letter to Bank of America, N.A., Merrill Lynch, Pierce, Fenner &amp; Smith Inc. dated December 1, 2011, the ADSs disclosed in Sec 3(c) are subject to a prepaid forward sale contract (aka "collar financing") between MyKornucopia Limited ("MyKornucopia") and Goldman Sachs International ("GS"). The contract provides for cash payment to MyKornucopia based on the then-current market price of the ADSs. Upon expiration of the contract, MyKornucopia will settle with cash payment or by delivering required number of shares. MyKornucopia pledged 3,000,000 Class B ordinary shares to secure its obligations. Any hedging activity under the contract will be conducted by broker name in Sec 3(b). Jun Peng is not directly selling shares referenced in this Form 144 but is filing as owner of MyKornucopia.</w:t>
            </w:r>
          </w:p>
        </w:tc>
      </w:tr>
      <w:tr>
        <w:trPr/>
        <w:tc>
          <w:tcPr>
            <w:tcW w:w="1060" w:type="dxa"/>
            <w:tcBorders/>
            <w:vAlign w:val="center"/>
          </w:tcPr>
          <w:p>
            <w:pPr>
              <w:pStyle w:val="TableContents"/>
              <w:bidi w:val="0"/>
              <w:spacing w:before="0" w:after="283"/>
              <w:jc w:val="left"/>
              <w:rPr/>
            </w:pPr>
            <w:r>
              <w:rPr/>
              <w:t>Date of Notice</w:t>
            </w:r>
          </w:p>
        </w:tc>
        <w:tc>
          <w:tcPr>
            <w:tcW w:w="9145" w:type="dxa"/>
            <w:tcBorders/>
            <w:vAlign w:val="center"/>
          </w:tcPr>
          <w:p>
            <w:pPr>
              <w:pStyle w:val="TableContents"/>
              <w:bidi w:val="0"/>
              <w:spacing w:before="0" w:after="0"/>
              <w:jc w:val="left"/>
              <w:rPr/>
            </w:pPr>
            <w:r>
              <w:rPr/>
              <w:t>09/30/2026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60" w:type="dxa"/>
            <w:tcBorders/>
            <w:vAlign w:val="center"/>
          </w:tcPr>
          <w:p>
            <w:pPr>
              <w:pStyle w:val="TableContents"/>
              <w:bidi w:val="0"/>
              <w:spacing w:before="0" w:after="283"/>
              <w:jc w:val="left"/>
              <w:rPr/>
            </w:pPr>
            <w:r>
              <w:rPr/>
              <w:t>Signature</w:t>
            </w:r>
          </w:p>
        </w:tc>
        <w:tc>
          <w:tcPr>
            <w:tcW w:w="9145" w:type="dxa"/>
            <w:tcBorders/>
            <w:vAlign w:val="center"/>
          </w:tcPr>
          <w:p>
            <w:pPr>
              <w:pStyle w:val="TableContents"/>
              <w:bidi w:val="0"/>
              <w:spacing w:before="0" w:after="0"/>
              <w:jc w:val="left"/>
              <w:rPr/>
            </w:pPr>
            <w:r>
              <w:rPr/>
              <w:t>Goldman Sachs &amp; Co. LLC on behalf of Jun Peng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3771</Characters>
  <CharactersWithSpaces>4460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