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13708d1_6k.htm"/>
      <w:bookmarkStart w:id="1" w:name="kstm261370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995"/>
        <w:gridCol w:w="60"/>
        <w:gridCol w:w="329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335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370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hyperlink w:anchor="tm2613708d1_ex99-1.htm">
              <w:r>
                <w:rPr>
                  <w:rStyle w:val="InternetLink"/>
                  <w:sz w:val="20"/>
                </w:rPr>
                <w:t>Announcement - Date of Board Meeting</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550"/>
        <w:gridCol w:w="320"/>
        <w:gridCol w:w="4475"/>
      </w:tblGrid>
      <w:tr>
        <w:trPr/>
        <w:tc>
          <w:tcPr>
            <w:tcW w:w="155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13708d1_ex99-1.htm"/>
      <w:bookmarkStart w:id="3" w:name="kstm2613708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2882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704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p>
      <w:pPr>
        <w:pStyle w:val="TextBody"/>
        <w:bidi w:val="0"/>
        <w:spacing w:before="0" w:after="0"/>
        <w:jc w:val="center"/>
        <w:rPr>
          <w:caps w:val="false"/>
          <w:smallCaps w:val="false"/>
        </w:rPr>
      </w:pPr>
      <w:r>
        <w:rPr>
          <w:rFonts w:eastAsia="Times New Roman;Times;Serif"/>
          <w:b/>
          <w:i w:val="false"/>
          <w:caps w:val="false"/>
          <w:smallCaps w:val="false"/>
          <w:sz w:val="20"/>
        </w:rPr>
        <w:t>小馬智行</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BOARD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of Pony AI Inc. (the “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together with its subsidiaries, the “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hereby announces that a meeting of the Board will be held on Tuesday, May 26, 2026 for the purposes of, among other matters, considering and approving the unaudited financial results of the Group for the three months ended March 31, 2026 and its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hold an earnings conference call on Tuesday, May 26, 2026, at 8:00 A.M. U.S. Eastern Time or 8:00 P.M. Beijing/Hong Kong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by phone, please complete the online registration process using the link provided below prior to the scheduled call start time. Upon registration, participants will receive a confirmation email containing dial-in numbers, passcode, and a unique access PIN.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 Online Registration: </w:t>
      </w:r>
      <w:r>
        <w:rPr>
          <w:rFonts w:ascii="Times New Roman;Times;Serif" w:hAnsi="Times New Roman;Times;Serif"/>
          <w:b w:val="false"/>
          <w:i w:val="false"/>
          <w:caps w:val="false"/>
          <w:smallCaps w:val="false"/>
          <w:sz w:val="20"/>
          <w:u w:val="single"/>
        </w:rPr>
        <w:t>https://dpregister.com/sreg/10208868/103f733bea8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accessible through June 2, 2026, by dialing the following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1-855-669-9658</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1-412-317-0088</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Access Code: 2939290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also be available at the Company’s investor relations website at </w:t>
      </w:r>
      <w:r>
        <w:rPr>
          <w:rFonts w:ascii="Times New Roman;Times;Serif" w:hAnsi="Times New Roman;Times;Serif"/>
          <w:b w:val="false"/>
          <w:i w:val="false"/>
          <w:caps w:val="false"/>
          <w:smallCaps w:val="false"/>
          <w:sz w:val="20"/>
          <w:u w:val="single"/>
        </w:rPr>
        <w:t>https://ir.pony.ai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10" w:type="dxa"/>
        <w:jc w:val="left"/>
        <w:tblInd w:w="0" w:type="dxa"/>
        <w:tblLayout w:type="fixed"/>
        <w:tblCellMar>
          <w:top w:w="0" w:type="dxa"/>
          <w:left w:w="0" w:type="dxa"/>
          <w:bottom w:w="0" w:type="dxa"/>
          <w:right w:w="0" w:type="dxa"/>
        </w:tblCellMar>
      </w:tblPr>
      <w:tblGrid>
        <w:gridCol w:w="75"/>
        <w:gridCol w:w="4235"/>
      </w:tblGrid>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Pony AI Inc.</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Jun Peng</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(i) Dr. Jun Peng and Dr. Tiancheng Lou as executive directors; (ii) Mr. Fei Zhang and Mr. Takeo Hamada as non-executive directors; and (iii) Mr. Jackson Peter Tai, Dr. Mark Qiu and Ms. Asmau Ahmed as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For identification purposes only</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527</Words>
  <Characters>2777</Characters>
  <CharactersWithSpaces>3339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