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tm2528610d1_6k.htm"/>
      <w:bookmarkStart w:id="1" w:name="kstm2528610d1_6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6"/>
        </w:rPr>
        <w:t>UNITED STATES</w:t>
        <w:br/>
        <w:t>SECURITIES AND EXCHANGE COMMISSION</w:t>
        <w:br/>
      </w: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 UNDER</w:t>
        <w:b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October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001-42409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6"/>
        </w:rPr>
        <w:t>Pony AI Inc.</w:t>
        <w:br/>
      </w: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1301 Pearl Development Building</w:t>
        <w:br/>
        <w:t>1 Mingzhu 1st Street, Hengli Town, Nansha District</w:t>
        <w:br/>
        <w:t>Guangzhou, People’s Republic of China, 511458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ind w:left="0" w:right="0" w:firstLine="400"/>
        <w:jc w:val="left"/>
        <w:rPr>
          <w:bdr w:val="single" w:sz="8" w:space="1" w:color="000000"/>
        </w:rPr>
      </w:pPr>
      <w:r>
        <w:rPr>
          <w:bdr w:val="single" w:sz="8" w:space="1" w:color="000000"/>
        </w:rPr>
        <w:t> </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firstLine="400"/>
        <w:jc w:val="both"/>
        <w:rPr>
          <w:caps w:val="false"/>
          <w:smallCaps w:val="false"/>
        </w:rPr>
      </w:pPr>
      <w:r>
        <w:rPr>
          <w:caps w:val="false"/>
          <w:smallCaps w:val="false"/>
        </w:rPr>
        <w:t> </w:t>
      </w:r>
    </w:p>
    <w:tbl>
      <w:tblPr>
        <w:tblW w:w="8275" w:type="dxa"/>
        <w:jc w:val="left"/>
        <w:tblInd w:w="0" w:type="dxa"/>
        <w:tblLayout w:type="fixed"/>
        <w:tblCellMar>
          <w:top w:w="0" w:type="dxa"/>
          <w:left w:w="0" w:type="dxa"/>
          <w:bottom w:w="0" w:type="dxa"/>
          <w:right w:w="0" w:type="dxa"/>
        </w:tblCellMar>
      </w:tblPr>
      <w:tblGrid>
        <w:gridCol w:w="5225"/>
        <w:gridCol w:w="3050"/>
      </w:tblGrid>
      <w:tr>
        <w:trPr/>
        <w:tc>
          <w:tcPr>
            <w:tcW w:w="52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&amp;NegativeThickSpace; Form 20-F      ☒ &amp;NegativeThickSpace;</w:t>
            </w:r>
          </w:p>
        </w:tc>
        <w:tc>
          <w:tcPr>
            <w:tcW w:w="30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&amp;NegativeThickSpace; Form 40-F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Pony.ai Announces Receipt of CSRC Notice of Filing for Proposed Global Offering and Dual Primary Listing on the HKEX</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6-K is furnished by Pony AI Inc. (“Pony.ai” or the “Company”) (Nasdaq: PONY), a global leader in achieving large-scale commercialization of autonomous mobility, to report that the China Securities Regulatory Commission has issued a notice of filing results (the “CSRC Notice of Filing”) regarding the Company’s proposed global offering and dual primary listing of its Class A ordinary shares on The Stock Exchange of Hong King Limited (the “HKEX”). The CSRC Notice of Filing is valid for a period of 12 months from the date of issuance. The Company intends to proceed with the proposed global offering and listing in due course, subject to HKEX approval, market conditions, the effectiveness of a registration statement and/or valid exemptions under the Securities Act of 1933, as amended (the “Securities Act”), and other relevant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as to whether or when the proposed offering or listing will be completed. This current report shall not constitute an offer to sell, or the solicitation of an offer to buy, any securities. Any offers, solicitations or offers to buy, or any sales of securities will be made in accordance with the registration requirements of the Securities Act and/or valid exemptions of registration requirements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Statements that are not historical facts, including statements about Pony.ai’s beliefs, plans, and expectations, are forward-looking statements. Forward-looking statements involve inherent risks and uncertainties. Further information regarding these and other risks is included in Pony.ai’s filings with the SEC. All information provided in this current report is as of the date of this current report, and Pony.ai does not undertake any obligation to update any forward-looking statement,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center"/>
        <w:rPr>
          <w:caps w:val="false"/>
          <w:smallCaps w:val="false"/>
        </w:rPr>
      </w:pPr>
      <w:r>
        <w:rPr>
          <w:caps w:val="false"/>
          <w:smallCaps w:val="false"/>
        </w:rPr>
        <w:t> </w:t>
      </w:r>
    </w:p>
    <w:tbl>
      <w:tblPr>
        <w:tblW w:w="6690" w:type="dxa"/>
        <w:jc w:val="left"/>
        <w:tblInd w:w="0" w:type="dxa"/>
        <w:tblLayout w:type="fixed"/>
        <w:tblCellMar>
          <w:top w:w="0" w:type="dxa"/>
          <w:left w:w="0" w:type="dxa"/>
          <w:bottom w:w="0" w:type="dxa"/>
          <w:right w:w="0" w:type="dxa"/>
        </w:tblCellMar>
      </w:tblPr>
      <w:tblGrid>
        <w:gridCol w:w="1925"/>
        <w:gridCol w:w="60"/>
        <w:gridCol w:w="320"/>
        <w:gridCol w:w="4385"/>
      </w:tblGrid>
      <w:tr>
        <w:trPr/>
        <w:tc>
          <w:tcPr>
            <w:tcW w:w="1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Pony AI Inc.</w:t>
            </w:r>
          </w:p>
        </w:tc>
      </w:tr>
      <w:tr>
        <w:trPr/>
        <w:tc>
          <w:tcPr>
            <w:tcW w:w="1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5" w:type="dxa"/>
            <w:gridSpan w:val="2"/>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October 14, 2025</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3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Jun Peng</w:t>
            </w:r>
          </w:p>
        </w:tc>
      </w:tr>
      <w:tr>
        <w:trPr/>
        <w:tc>
          <w:tcPr>
            <w:tcW w:w="1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Dr. Jun Peng</w:t>
            </w:r>
          </w:p>
        </w:tc>
      </w:tr>
      <w:tr>
        <w:trPr/>
        <w:tc>
          <w:tcPr>
            <w:tcW w:w="1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Chairman of the Board,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511</Words>
  <Characters>2897</Characters>
  <CharactersWithSpaces>3441</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