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6664d1_6k.htm"/>
      <w:bookmarkStart w:id="1" w:name="kstm2626664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 Pearl Development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Mingzhu 1st Street, Hengli Town, Nansha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People’s Republic of China, 511458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a next day disclosure return form dated September 30, 2026 in relation to the changes in issued shares or treasury shares, share buybacks and/or on-market sales of treasury shares to The Stock Exchange of Hong Kong Limited. For details, please refer to the exhibit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995"/>
        <w:gridCol w:w="60"/>
        <w:gridCol w:w="449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455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6664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pPr>
            <w:hyperlink w:anchor="tm2626664d1_ex99-1.htm">
              <w:r>
                <w:rPr>
                  <w:rStyle w:val="InternetLink"/>
                  <w:sz w:val="20"/>
                </w:rPr>
                <w:t>Next Day Disclosure Return Dated September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615" w:type="dxa"/>
        <w:jc w:val="left"/>
        <w:tblInd w:w="0" w:type="dxa"/>
        <w:tblLayout w:type="fixed"/>
        <w:tblCellMar>
          <w:top w:w="0" w:type="dxa"/>
          <w:left w:w="0" w:type="dxa"/>
          <w:bottom w:w="0" w:type="dxa"/>
          <w:right w:w="0" w:type="dxa"/>
        </w:tblCellMar>
      </w:tblPr>
      <w:tblGrid>
        <w:gridCol w:w="1820"/>
        <w:gridCol w:w="320"/>
        <w:gridCol w:w="4475"/>
      </w:tblGrid>
      <w:tr>
        <w:trPr/>
        <w:tc>
          <w:tcPr>
            <w:tcW w:w="182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Pony AI Inc.</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 Peng</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Dr. Jun Peng</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of the Board,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40" w:after="40"/>
        <w:ind w:left="0" w:right="0" w:hanging="0"/>
        <w:jc w:val="right"/>
        <w:rPr>
          <w:rFonts w:ascii="Times New Roman" w:hAnsi="Times New Roman"/>
          <w:b/>
          <w:sz w:val="20"/>
        </w:rPr>
      </w:pPr>
      <w:bookmarkStart w:id="2" w:name="tm2626664d1_ex99-1.htm"/>
      <w:bookmarkStart w:id="3" w:name="kstm2626664d1_ex991"/>
      <w:bookmarkEnd w:id="2"/>
      <w:bookmarkEnd w:id="3"/>
      <w:r>
        <w:rPr>
          <w:rFonts w:ascii="Times New Roman" w:hAnsi="Times New Roman"/>
          <w:b/>
          <w:sz w:val="20"/>
        </w:rPr>
        <w:t>Exhibit 99.1</w:t>
      </w:r>
      <w:r>
        <w:br w:type="page"/>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6 v 1.3.0 Next Day Disclosure Return (Equity issuer - changes in issued shares or treasury shares, share buybacks and/or on-market sales of treasury shares) Instrument: Equity issuer Status: New Submission Name of Issuer: Pony AI Inc. (A company controlled through weighted voting rights and incorporated in the Cayman Islands with limited liability) Date Submitted: 30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02026 Description Class A Ordinary Shares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31 August 2026 353,324,845 0 353,324,845 1). Issue of new shares or transfer of treasury shares in respect of share awards or options granted to a participant (who is not a director of the issuer) under a share scheme - new shares involved Issue of Class A Ordinary Shares upon settlement of vested restricted share units and exercised share options by eligible participants (other than the directors of the Company) pursuant to the 2016 Share Plan and 2026 Share Scheme. Date of changes 30 September 2026 765,024 0.1761 % USD 0.2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6 v 1.3.0 2). Issue of new shares or transfer of treasury shares in respect of share awards or options granted to a director of the issuer under a share scheme - new shares involved Issue of Class A Ordinary Shares upon settlement of vested restricted share units granted to a director of the Company under the 2016 Share Plan Date of changes 30 September 2026 5,521 0.0013 % USD 0 Closing balance as at (Notes 5 and 6) 30 September 2026 354,095,390 0 354,095,390 B. Shares redeemed or repurchased for cancellation but not yet cancelled as at the closing balance date (Notes 5 and 6) Not applicable Remarks: The percentages as stated in the above "changes in issued shares (excluding treasury shares) as a % of existing number of issued shares (excluding treasury shares) before the relevant event" column were calculated based on the Company's total number of issued shares of 434,413,615 shares (comprising 353,324,845 Class A Ordinary Shares and 81,088,770 Class B Ordinary Shares)</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6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6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6 v 1.3.0 Section II must also be completed by a listed issuer where it has made a repurchase of shares which is discloseable under Main Board Rule 10.06(4)(a) / GEM Rule 13.13(1). Repurchase report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6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NG Tung Ching Raphael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1644</Words>
  <Characters>8173</Characters>
  <CharactersWithSpaces>9846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