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7277d1_6k.htm"/>
      <w:bookmarkStart w:id="1" w:name="kstm262727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1/F, Building 8, Phase II </w:t>
        <w:br/>
        <w:t xml:space="preserve">Datang Industrial Park, Huangge Town, Nansha District </w:t>
        <w:br/>
        <w:t>Guangzhou, People’s Republic of China, 511455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995"/>
        <w:gridCol w:w="60"/>
        <w:gridCol w:w="548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554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7277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hyperlink w:anchor="tm2627277d1_ex99-1.htm">
              <w:r>
                <w:rPr>
                  <w:rStyle w:val="InternetLink"/>
                  <w:sz w:val="20"/>
                </w:rPr>
                <w:t>Announcement - Grant of RSUs Pursuant to the 2026 Share Scheme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0" w:type="dxa"/>
        <w:tblLayout w:type="fixed"/>
        <w:tblCellMar>
          <w:top w:w="0" w:type="dxa"/>
          <w:left w:w="0" w:type="dxa"/>
          <w:bottom w:w="0" w:type="dxa"/>
          <w:right w:w="0" w:type="dxa"/>
        </w:tblCellMar>
      </w:tblPr>
      <w:tblGrid>
        <w:gridCol w:w="1820"/>
        <w:gridCol w:w="320"/>
        <w:gridCol w:w="4475"/>
      </w:tblGrid>
      <w:tr>
        <w:trPr/>
        <w:tc>
          <w:tcPr>
            <w:tcW w:w="182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Pony AI Inc.</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caps w:val="false"/>
          <w:smallCaps w:val="false"/>
        </w:rPr>
      </w:pPr>
      <w:bookmarkStart w:id="2" w:name="tm2627277d1_ex99-1.htm"/>
      <w:bookmarkStart w:id="3" w:name="kstm2627277d1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240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5524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 AI Inc.</w:t>
      </w:r>
    </w:p>
    <w:p>
      <w:pPr>
        <w:pStyle w:val="TextBody"/>
        <w:bidi w:val="0"/>
        <w:spacing w:before="0" w:after="0"/>
        <w:ind w:left="0" w:right="0" w:hanging="0"/>
        <w:jc w:val="center"/>
        <w:rPr>
          <w:caps w:val="false"/>
          <w:smallCaps w:val="false"/>
        </w:rPr>
      </w:pPr>
      <w:r>
        <w:rPr>
          <w:rFonts w:eastAsia="Times New Roman;Times;Serif"/>
          <w:b/>
          <w:i w:val="false"/>
          <w:caps w:val="false"/>
          <w:smallCaps w:val="false"/>
          <w:sz w:val="20"/>
        </w:rPr>
        <w:t>小馬智行</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OF RSUs PURSUANT TO THE 2026 SHARE SCHEME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17.06A, Rule 17.06B and Rule 17.06C of the Listing Rules, the Board announces that on October 9, 2026, the Company has resolved to grant a total of 1,638,591 RSUs under the 2026 Share Scheme to 124 employees of the Group (the “</w:t>
      </w:r>
      <w:r>
        <w:rPr>
          <w:rFonts w:ascii="Times New Roman;Times;Serif" w:hAnsi="Times New Roman;Times;Serif"/>
          <w:b/>
          <w:i w:val="false"/>
          <w:caps w:val="false"/>
          <w:smallCaps w:val="false"/>
          <w:sz w:val="20"/>
        </w:rPr>
        <w:t>Employee Grants</w:t>
      </w:r>
      <w:r>
        <w:rPr>
          <w:rFonts w:ascii="Times New Roman;Times;Serif" w:hAnsi="Times New Roman;Times;Serif"/>
          <w:b w:val="false"/>
          <w:i w:val="false"/>
          <w:caps w:val="false"/>
          <w:smallCaps w:val="false"/>
          <w:sz w:val="20"/>
        </w:rPr>
        <w:t>”). The Employee Grants are subject to the terms and conditions of the 2026 Share Scheme and the award agreements entered into between the Company and each of the Grantees.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Employee Grants are set out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3"/>
        <w:gridCol w:w="60"/>
        <w:gridCol w:w="7102"/>
      </w:tblGrid>
      <w:tr>
        <w:trPr/>
        <w:tc>
          <w:tcPr>
            <w:tcW w:w="3043" w:type="dxa"/>
            <w:tcBorders/>
            <w:vAlign w:val="center"/>
          </w:tcPr>
          <w:p>
            <w:pPr>
              <w:pStyle w:val="TableContents"/>
              <w:bidi w:val="0"/>
              <w:spacing w:before="0" w:after="283"/>
              <w:ind w:left="0" w:right="0" w:hanging="180"/>
              <w:jc w:val="both"/>
              <w:rPr>
                <w:rFonts w:ascii="Times New Roman;Times;Serif" w:hAnsi="Times New Roman;Times;Serif"/>
                <w:b/>
                <w:color w:val="231F20"/>
                <w:sz w:val="20"/>
              </w:rPr>
            </w:pPr>
            <w:r>
              <w:rPr>
                <w:rFonts w:ascii="Times New Roman;Times;Serif" w:hAnsi="Times New Roman;Times;Serif"/>
                <w:b/>
                <w:color w:val="231F20"/>
                <w:sz w:val="20"/>
              </w:rPr>
              <w:t>Date of the Employee Grants</w:t>
            </w:r>
          </w:p>
        </w:tc>
        <w:tc>
          <w:tcPr>
            <w:tcW w:w="60" w:type="dxa"/>
            <w:tcBorders/>
            <w:vAlign w:val="center"/>
          </w:tcPr>
          <w:p>
            <w:pPr>
              <w:pStyle w:val="TableContents"/>
              <w:bidi w:val="0"/>
              <w:spacing w:before="0" w:after="283"/>
              <w:jc w:val="left"/>
              <w:rPr/>
            </w:pPr>
            <w:r>
              <w:rPr/>
              <w:t> </w:t>
            </w:r>
          </w:p>
        </w:tc>
        <w:tc>
          <w:tcPr>
            <w:tcW w:w="710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October 9, 2026 (after trading hours during Hong Kong Time)</w:t>
            </w:r>
          </w:p>
        </w:tc>
      </w:tr>
      <w:tr>
        <w:trPr/>
        <w:tc>
          <w:tcPr>
            <w:tcW w:w="30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2" w:type="dxa"/>
            <w:tcBorders/>
            <w:vAlign w:val="center"/>
          </w:tcPr>
          <w:p>
            <w:pPr>
              <w:pStyle w:val="TableContents"/>
              <w:bidi w:val="0"/>
              <w:spacing w:before="0" w:after="283"/>
              <w:ind w:left="0" w:right="0" w:hanging="180"/>
              <w:jc w:val="both"/>
              <w:rPr/>
            </w:pPr>
            <w:r>
              <w:rPr/>
              <w:t> </w:t>
            </w:r>
          </w:p>
        </w:tc>
      </w:tr>
      <w:tr>
        <w:trPr/>
        <w:tc>
          <w:tcPr>
            <w:tcW w:w="3043"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Number of RSUs granted and Grantees</w:t>
            </w:r>
          </w:p>
        </w:tc>
        <w:tc>
          <w:tcPr>
            <w:tcW w:w="60" w:type="dxa"/>
            <w:tcBorders/>
            <w:vAlign w:val="center"/>
          </w:tcPr>
          <w:p>
            <w:pPr>
              <w:pStyle w:val="TableContents"/>
              <w:bidi w:val="0"/>
              <w:spacing w:before="0" w:after="283"/>
              <w:jc w:val="left"/>
              <w:rPr/>
            </w:pPr>
            <w:r>
              <w:rPr/>
              <w:t> </w:t>
            </w:r>
          </w:p>
        </w:tc>
        <w:tc>
          <w:tcPr>
            <w:tcW w:w="710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1,638,591 to 124 employees of the Group, who are eligible participants pursuant to the 2026 Share Scheme (representing 0.38% of the total number of issued shares of the Company as at the date of this announcement (excluding treasury shares))</w:t>
            </w:r>
          </w:p>
        </w:tc>
      </w:tr>
      <w:tr>
        <w:trPr/>
        <w:tc>
          <w:tcPr>
            <w:tcW w:w="30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2" w:type="dxa"/>
            <w:tcBorders/>
            <w:vAlign w:val="center"/>
          </w:tcPr>
          <w:p>
            <w:pPr>
              <w:pStyle w:val="TableContents"/>
              <w:bidi w:val="0"/>
              <w:spacing w:before="0" w:after="283"/>
              <w:ind w:left="0" w:right="0" w:hanging="180"/>
              <w:jc w:val="both"/>
              <w:rPr/>
            </w:pPr>
            <w:r>
              <w:rPr/>
              <w:t> </w:t>
            </w:r>
          </w:p>
        </w:tc>
      </w:tr>
      <w:tr>
        <w:trPr/>
        <w:tc>
          <w:tcPr>
            <w:tcW w:w="3043"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Purchase price of RSUs granted</w:t>
            </w:r>
          </w:p>
        </w:tc>
        <w:tc>
          <w:tcPr>
            <w:tcW w:w="60" w:type="dxa"/>
            <w:tcBorders/>
            <w:vAlign w:val="center"/>
          </w:tcPr>
          <w:p>
            <w:pPr>
              <w:pStyle w:val="TableContents"/>
              <w:bidi w:val="0"/>
              <w:spacing w:before="0" w:after="283"/>
              <w:jc w:val="left"/>
              <w:rPr/>
            </w:pPr>
            <w:r>
              <w:rPr/>
              <w:t> </w:t>
            </w:r>
          </w:p>
        </w:tc>
        <w:tc>
          <w:tcPr>
            <w:tcW w:w="710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Nil</w:t>
            </w:r>
          </w:p>
        </w:tc>
      </w:tr>
      <w:tr>
        <w:trPr/>
        <w:tc>
          <w:tcPr>
            <w:tcW w:w="30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2" w:type="dxa"/>
            <w:tcBorders/>
            <w:vAlign w:val="center"/>
          </w:tcPr>
          <w:p>
            <w:pPr>
              <w:pStyle w:val="TableContents"/>
              <w:bidi w:val="0"/>
              <w:spacing w:before="0" w:after="283"/>
              <w:ind w:left="0" w:right="0" w:hanging="180"/>
              <w:jc w:val="both"/>
              <w:rPr/>
            </w:pPr>
            <w:r>
              <w:rPr/>
              <w:t> </w:t>
            </w:r>
          </w:p>
        </w:tc>
      </w:tr>
      <w:tr>
        <w:trPr/>
        <w:tc>
          <w:tcPr>
            <w:tcW w:w="3043" w:type="dxa"/>
            <w:tcBorders/>
            <w:vAlign w:val="center"/>
          </w:tcPr>
          <w:p>
            <w:pPr>
              <w:pStyle w:val="TableContents"/>
              <w:bidi w:val="0"/>
              <w:spacing w:before="0" w:after="283"/>
              <w:jc w:val="both"/>
              <w:rPr>
                <w:rFonts w:ascii="Times New Roman;Times;Serif" w:hAnsi="Times New Roman;Times;Serif"/>
                <w:b/>
                <w:color w:val="231F20"/>
                <w:sz w:val="20"/>
              </w:rPr>
            </w:pPr>
            <w:r>
              <w:rPr>
                <w:rFonts w:ascii="Times New Roman;Times;Serif" w:hAnsi="Times New Roman;Times;Serif"/>
                <w:b/>
                <w:color w:val="231F20"/>
                <w:sz w:val="20"/>
              </w:rPr>
              <w:t>Closing price of the Class A Ordinary Shares and ADSs on the date of the Employee Grants</w:t>
            </w:r>
          </w:p>
        </w:tc>
        <w:tc>
          <w:tcPr>
            <w:tcW w:w="60" w:type="dxa"/>
            <w:tcBorders/>
            <w:vAlign w:val="center"/>
          </w:tcPr>
          <w:p>
            <w:pPr>
              <w:pStyle w:val="TableContents"/>
              <w:bidi w:val="0"/>
              <w:spacing w:before="0" w:after="283"/>
              <w:jc w:val="left"/>
              <w:rPr/>
            </w:pPr>
            <w:r>
              <w:rPr/>
              <w:t> </w:t>
            </w:r>
          </w:p>
        </w:tc>
        <w:tc>
          <w:tcPr>
            <w:tcW w:w="7102" w:type="dxa"/>
            <w:tcBorders/>
            <w:vAlign w:val="center"/>
          </w:tcPr>
          <w:p>
            <w:pPr>
              <w:pStyle w:val="TableContents"/>
              <w:bidi w:val="0"/>
              <w:jc w:val="both"/>
              <w:rPr>
                <w:rFonts w:ascii="Times New Roman;Times;Serif" w:hAnsi="Times New Roman;Times;Serif"/>
                <w:color w:val="231F20"/>
                <w:sz w:val="20"/>
              </w:rPr>
            </w:pPr>
            <w:r>
              <w:rPr>
                <w:rFonts w:ascii="Times New Roman;Times;Serif" w:hAnsi="Times New Roman;Times;Serif"/>
                <w:color w:val="231F20"/>
                <w:sz w:val="20"/>
              </w:rPr>
              <w:t>HK$45.38 per Class A Ordinary Share, for Class A Ordinary Shares traded on the Stock Exchange on October 9, 2026 (Hong Kong Time).</w:t>
            </w:r>
          </w:p>
          <w:p>
            <w:pPr>
              <w:pStyle w:val="TableContents"/>
              <w:bidi w:val="0"/>
              <w:jc w:val="both"/>
              <w:rPr/>
            </w:pPr>
            <w:r>
              <w:rPr/>
              <w:t> </w:t>
            </w:r>
          </w:p>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US$5.76 per ADS, for ADSs traded on the Nasdaq on October 8, 2026 (U.S. Eastern Time), being the trading day on the Nasdaq immediately preceding the date of the Employee Grants.</w:t>
            </w:r>
          </w:p>
        </w:tc>
      </w:tr>
      <w:tr>
        <w:trPr/>
        <w:tc>
          <w:tcPr>
            <w:tcW w:w="304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102" w:type="dxa"/>
            <w:tcBorders/>
            <w:vAlign w:val="center"/>
          </w:tcPr>
          <w:p>
            <w:pPr>
              <w:pStyle w:val="TableContents"/>
              <w:bidi w:val="0"/>
              <w:spacing w:before="0" w:after="283"/>
              <w:ind w:left="0" w:right="0" w:hanging="180"/>
              <w:jc w:val="both"/>
              <w:rPr/>
            </w:pPr>
            <w:r>
              <w:rPr/>
              <w:t> </w:t>
            </w:r>
          </w:p>
        </w:tc>
      </w:tr>
      <w:tr>
        <w:trPr/>
        <w:tc>
          <w:tcPr>
            <w:tcW w:w="3043"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Vesting period</w:t>
            </w:r>
          </w:p>
        </w:tc>
        <w:tc>
          <w:tcPr>
            <w:tcW w:w="60" w:type="dxa"/>
            <w:tcBorders/>
            <w:vAlign w:val="center"/>
          </w:tcPr>
          <w:p>
            <w:pPr>
              <w:pStyle w:val="TableContents"/>
              <w:bidi w:val="0"/>
              <w:spacing w:before="0" w:after="283"/>
              <w:jc w:val="left"/>
              <w:rPr/>
            </w:pPr>
            <w:r>
              <w:rPr/>
              <w:t> </w:t>
            </w:r>
          </w:p>
        </w:tc>
        <w:tc>
          <w:tcPr>
            <w:tcW w:w="710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 of the 1,626,091 RSUs granted shall vest on the first anniversary of September 30, 2026, and the remaining 75% shall vest equally at the end of each quarter thereafter.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50% of the 12,500 RSUs granted shall vest on the first anniversary of September 30, 2026, and the remaining 50% shall vest equally at the end of each quarter thereafter.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 identification purpose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7"/>
        <w:gridCol w:w="60"/>
        <w:gridCol w:w="8858"/>
      </w:tblGrid>
      <w:tr>
        <w:trPr/>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8" w:type="dxa"/>
            <w:tcBorders/>
            <w:vAlign w:val="center"/>
          </w:tcPr>
          <w:p>
            <w:pPr>
              <w:pStyle w:val="TableContents"/>
              <w:bidi w:val="0"/>
              <w:spacing w:before="0" w:after="283"/>
              <w:jc w:val="both"/>
              <w:rPr/>
            </w:pPr>
            <w:r>
              <w:rPr>
                <w:sz w:val="20"/>
              </w:rPr>
              <w:t>As</w:t>
            </w:r>
            <w:r>
              <w:rPr/>
              <w:t xml:space="preserve"> </w:t>
            </w:r>
            <w:r>
              <w:rPr>
                <w:sz w:val="20"/>
              </w:rPr>
              <w:t>set out above, the 1,626,091 RSUs and the 12,500 RSUs will be vested in several batches with a total vesting period of four years and two years, respectively. Due to administrative reason, the period between the grant date and the first anniversary of the vesting commencement date is less than 12 months to reflect the time from which the RSUs would have been granted as permitted by the 2026 Share Scheme. It is a specific circumstance where a shorter vesting period of RSUs may be permitted as set out in the terms of the 2026 Share Scheme.</w:t>
            </w:r>
          </w:p>
        </w:tc>
      </w:tr>
      <w:tr>
        <w:trPr/>
        <w:tc>
          <w:tcPr>
            <w:tcW w:w="12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8" w:type="dxa"/>
            <w:tcBorders/>
            <w:vAlign w:val="center"/>
          </w:tcPr>
          <w:p>
            <w:pPr>
              <w:pStyle w:val="TableContents"/>
              <w:bidi w:val="0"/>
              <w:spacing w:before="0" w:after="283"/>
              <w:jc w:val="both"/>
              <w:rPr/>
            </w:pPr>
            <w:r>
              <w:rPr/>
              <w:t> </w:t>
            </w:r>
          </w:p>
        </w:tc>
      </w:tr>
      <w:tr>
        <w:trPr/>
        <w:tc>
          <w:tcPr>
            <w:tcW w:w="1287"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Performance targets</w:t>
            </w:r>
          </w:p>
        </w:tc>
        <w:tc>
          <w:tcPr>
            <w:tcW w:w="60" w:type="dxa"/>
            <w:tcBorders/>
            <w:vAlign w:val="center"/>
          </w:tcPr>
          <w:p>
            <w:pPr>
              <w:pStyle w:val="TableContents"/>
              <w:bidi w:val="0"/>
              <w:spacing w:before="0" w:after="283"/>
              <w:jc w:val="left"/>
              <w:rPr/>
            </w:pPr>
            <w:r>
              <w:rPr/>
              <w:t> </w:t>
            </w:r>
          </w:p>
        </w:tc>
        <w:tc>
          <w:tcPr>
            <w:tcW w:w="8858"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There are no performance targets attached to the Employee Grants.</w:t>
            </w:r>
          </w:p>
        </w:tc>
      </w:tr>
      <w:tr>
        <w:trPr/>
        <w:tc>
          <w:tcPr>
            <w:tcW w:w="12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8" w:type="dxa"/>
            <w:tcBorders/>
            <w:vAlign w:val="center"/>
          </w:tcPr>
          <w:p>
            <w:pPr>
              <w:pStyle w:val="TableContents"/>
              <w:bidi w:val="0"/>
              <w:spacing w:before="0" w:after="283"/>
              <w:jc w:val="left"/>
              <w:rPr/>
            </w:pPr>
            <w:r>
              <w:rPr/>
              <w:t> </w:t>
            </w:r>
          </w:p>
        </w:tc>
      </w:tr>
      <w:tr>
        <w:trPr/>
        <w:tc>
          <w:tcPr>
            <w:tcW w:w="1287" w:type="dxa"/>
            <w:tcBorders/>
            <w:vAlign w:val="center"/>
          </w:tcPr>
          <w:p>
            <w:pPr>
              <w:pStyle w:val="TableContents"/>
              <w:bidi w:val="0"/>
              <w:spacing w:before="0" w:after="283"/>
              <w:jc w:val="both"/>
              <w:rPr>
                <w:rFonts w:ascii="Times New Roman;Times;Serif" w:hAnsi="Times New Roman;Times;Serif"/>
                <w:b/>
                <w:color w:val="231F20"/>
                <w:sz w:val="20"/>
              </w:rPr>
            </w:pPr>
            <w:r>
              <w:rPr>
                <w:rFonts w:ascii="Times New Roman;Times;Serif" w:hAnsi="Times New Roman;Times;Serif"/>
                <w:b/>
                <w:color w:val="231F20"/>
                <w:sz w:val="20"/>
              </w:rPr>
              <w:t>Clawback mechanisms</w:t>
            </w:r>
          </w:p>
        </w:tc>
        <w:tc>
          <w:tcPr>
            <w:tcW w:w="60" w:type="dxa"/>
            <w:tcBorders/>
            <w:vAlign w:val="center"/>
          </w:tcPr>
          <w:p>
            <w:pPr>
              <w:pStyle w:val="TableContents"/>
              <w:bidi w:val="0"/>
              <w:spacing w:before="0" w:after="283"/>
              <w:jc w:val="left"/>
              <w:rPr/>
            </w:pPr>
            <w:r>
              <w:rPr/>
              <w:t> </w:t>
            </w:r>
          </w:p>
        </w:tc>
        <w:tc>
          <w:tcPr>
            <w:tcW w:w="8858"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Employee Grants are subject to the clawback mechanism under the 2026 Share Scheme. For details of the clawback mechanism, please refer to the paragraph headed “Lapse or Cancellation of Awards, and Clawback Mechanism” in the Letter from the Board as contained in the circular of the Company dated February 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for the Company or any of its subsidiaries to provide financial assistance to the Grantees to facilitate the purchase of the RSUs granted under the 2026 Share Scheme.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Directors’ knowledge, information and belief having made all reasonable enquiries, none of the Grantees is a Director, or a chief executive, or a substantial Shareholder, or an associate of any of them. The Employee Grants would not result in a participant with options and awards granted and to be granted exceeding the 1% individual limit under Rule 17.03D of the Listing Rules; or a related entity participant or service provider with options and awards granted and to be granted exceeding 0.1% of the total issued Shares (excluding treasury shares, if any) in any 12-month period up to and including the date of the Employee Grants. The Employee Grants are not subject to approval of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and Benefits of the Employee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2026 Share Scheme is to, among others, recognize and reward eligible persons for their contribution to the Group; and to encourage and retain eligible persons to make contributions to the long-term development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Employee Grants serve to provide Grantees incentive for the persistent devotions in the development of the Group’s business by further aligning the interests of the Group with them, and to recognize their contributions to the development of the Group, which is in the interest of the long-term development of the Company and aligns with the purposes of the 2026 Share Scheme.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Available for Future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Grants will be satisfied through utilizing the Class A Ordinary Shares or equivalent ADSs each representing one Class A Ordinary Share registered in the name of the depositary bank, within the plan limit of the 2026 Share Scheme. As at the date of this announcement and following the Employee Grants, a total of 31,917,782 awards (representing equal number of underlying Class A Ordinary Shares) remain available for future grants under the Scheme Limit, and a total of 4,060,385 awards (representing equal number of underlying Class A Ordinary Shares) remain available for future grants under the Service Providers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announcement, unless the context otherwise requires, the following expressions shall have the following meanings: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8"/>
        <w:gridCol w:w="60"/>
        <w:gridCol w:w="8737"/>
      </w:tblGrid>
      <w:tr>
        <w:trPr/>
        <w:tc>
          <w:tcPr>
            <w:tcW w:w="1408" w:type="dxa"/>
            <w:tcBorders/>
            <w:vAlign w:val="center"/>
          </w:tcPr>
          <w:p>
            <w:pPr>
              <w:pStyle w:val="TableContents"/>
              <w:bidi w:val="0"/>
              <w:spacing w:before="0" w:after="283"/>
              <w:jc w:val="left"/>
              <w:rPr/>
            </w:pPr>
            <w:r>
              <w:rPr/>
              <w:t>“</w:t>
            </w:r>
            <w:r>
              <w:rPr>
                <w:rFonts w:ascii="Times New Roman;Times;Serif" w:hAnsi="Times New Roman;Times;Serif"/>
                <w:sz w:val="20"/>
              </w:rPr>
              <w:t>2026 Share Scheme”</w:t>
            </w:r>
          </w:p>
        </w:tc>
        <w:tc>
          <w:tcPr>
            <w:tcW w:w="60" w:type="dxa"/>
            <w:tcBorders/>
            <w:vAlign w:val="center"/>
          </w:tcPr>
          <w:p>
            <w:pPr>
              <w:pStyle w:val="TableContents"/>
              <w:bidi w:val="0"/>
              <w:spacing w:before="0" w:after="283"/>
              <w:jc w:val="left"/>
              <w:rPr/>
            </w:pPr>
            <w:r>
              <w:rPr/>
              <w:t> </w:t>
            </w:r>
          </w:p>
        </w:tc>
        <w:tc>
          <w:tcPr>
            <w:tcW w:w="8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2026 share scheme adopted by the Company on April 2, 2026</w:t>
            </w:r>
          </w:p>
        </w:tc>
      </w:tr>
      <w:tr>
        <w:trPr/>
        <w:tc>
          <w:tcPr>
            <w:tcW w:w="1408" w:type="dxa"/>
            <w:tcBorders/>
            <w:vAlign w:val="center"/>
          </w:tcPr>
          <w:p>
            <w:pPr>
              <w:pStyle w:val="TableContents"/>
              <w:bidi w:val="0"/>
              <w:spacing w:before="0" w:after="283"/>
              <w:jc w:val="left"/>
              <w:rPr/>
            </w:pPr>
            <w:r>
              <w:rPr/>
              <w:t>“</w:t>
            </w:r>
            <w:r>
              <w:rPr>
                <w:rFonts w:ascii="Times New Roman;Times;Serif" w:hAnsi="Times New Roman;Times;Serif"/>
                <w:sz w:val="20"/>
              </w:rPr>
              <w:t>ADS(s)”</w:t>
            </w:r>
          </w:p>
        </w:tc>
        <w:tc>
          <w:tcPr>
            <w:tcW w:w="60" w:type="dxa"/>
            <w:tcBorders/>
            <w:vAlign w:val="center"/>
          </w:tcPr>
          <w:p>
            <w:pPr>
              <w:pStyle w:val="TableContents"/>
              <w:bidi w:val="0"/>
              <w:spacing w:before="0" w:after="283"/>
              <w:jc w:val="left"/>
              <w:rPr/>
            </w:pPr>
            <w:r>
              <w:rPr/>
              <w:t> </w:t>
            </w:r>
          </w:p>
        </w:tc>
        <w:tc>
          <w:tcPr>
            <w:tcW w:w="8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American depositary shares, each representing one Class A Ordinary Share</w:t>
            </w:r>
          </w:p>
        </w:tc>
      </w:tr>
      <w:tr>
        <w:trPr/>
        <w:tc>
          <w:tcPr>
            <w:tcW w:w="1408" w:type="dxa"/>
            <w:tcBorders/>
            <w:vAlign w:val="center"/>
          </w:tcPr>
          <w:p>
            <w:pPr>
              <w:pStyle w:val="TableContents"/>
              <w:bidi w:val="0"/>
              <w:spacing w:before="0" w:after="283"/>
              <w:jc w:val="left"/>
              <w:rPr/>
            </w:pPr>
            <w:r>
              <w:rPr/>
              <w:t>“</w:t>
            </w:r>
            <w:r>
              <w:rPr>
                <w:rFonts w:ascii="Times New Roman;Times;Serif" w:hAnsi="Times New Roman;Times;Serif"/>
                <w:sz w:val="20"/>
              </w:rPr>
              <w:t>Board”</w:t>
            </w:r>
          </w:p>
        </w:tc>
        <w:tc>
          <w:tcPr>
            <w:tcW w:w="60" w:type="dxa"/>
            <w:tcBorders/>
            <w:vAlign w:val="center"/>
          </w:tcPr>
          <w:p>
            <w:pPr>
              <w:pStyle w:val="TableContents"/>
              <w:bidi w:val="0"/>
              <w:spacing w:before="0" w:after="283"/>
              <w:jc w:val="left"/>
              <w:rPr/>
            </w:pPr>
            <w:r>
              <w:rPr/>
              <w:t> </w:t>
            </w:r>
          </w:p>
        </w:tc>
        <w:tc>
          <w:tcPr>
            <w:tcW w:w="8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w:t>
            </w:r>
          </w:p>
        </w:tc>
      </w:tr>
      <w:tr>
        <w:trPr/>
        <w:tc>
          <w:tcPr>
            <w:tcW w:w="1408" w:type="dxa"/>
            <w:tcBorders/>
            <w:vAlign w:val="center"/>
          </w:tcPr>
          <w:p>
            <w:pPr>
              <w:pStyle w:val="TableContents"/>
              <w:bidi w:val="0"/>
              <w:spacing w:before="0" w:after="283"/>
              <w:jc w:val="left"/>
              <w:rPr/>
            </w:pPr>
            <w:r>
              <w:rPr/>
              <w:t>“</w:t>
            </w:r>
            <w:r>
              <w:rPr>
                <w:rFonts w:ascii="Times New Roman;Times;Serif" w:hAnsi="Times New Roman;Times;Serif"/>
                <w:sz w:val="20"/>
              </w:rPr>
              <w:t>Class A Ordinary Shares”</w:t>
            </w:r>
          </w:p>
        </w:tc>
        <w:tc>
          <w:tcPr>
            <w:tcW w:w="60" w:type="dxa"/>
            <w:tcBorders/>
            <w:vAlign w:val="center"/>
          </w:tcPr>
          <w:p>
            <w:pPr>
              <w:pStyle w:val="TableContents"/>
              <w:bidi w:val="0"/>
              <w:spacing w:before="0" w:after="283"/>
              <w:jc w:val="left"/>
              <w:rPr/>
            </w:pPr>
            <w:r>
              <w:rPr/>
              <w:t> </w:t>
            </w:r>
          </w:p>
        </w:tc>
        <w:tc>
          <w:tcPr>
            <w:tcW w:w="8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 ordinary shares of the share capital of the Company with a par value of US$0.0005 each, conferring a holder of a Class A ordinary share (1) vote per share on all matters subject to the vote at general meetings of the Company</w:t>
            </w:r>
          </w:p>
        </w:tc>
      </w:tr>
      <w:tr>
        <w:trPr/>
        <w:tc>
          <w:tcPr>
            <w:tcW w:w="1408" w:type="dxa"/>
            <w:tcBorders/>
            <w:vAlign w:val="center"/>
          </w:tcPr>
          <w:p>
            <w:pPr>
              <w:pStyle w:val="TableContents"/>
              <w:bidi w:val="0"/>
              <w:spacing w:before="0" w:after="283"/>
              <w:jc w:val="left"/>
              <w:rPr/>
            </w:pPr>
            <w:r>
              <w:rPr/>
              <w:t>“</w:t>
            </w:r>
            <w:r>
              <w:rPr>
                <w:rFonts w:ascii="Times New Roman;Times;Serif" w:hAnsi="Times New Roman;Times;Serif"/>
                <w:sz w:val="20"/>
              </w:rPr>
              <w:t>Company”</w:t>
            </w:r>
          </w:p>
        </w:tc>
        <w:tc>
          <w:tcPr>
            <w:tcW w:w="60" w:type="dxa"/>
            <w:tcBorders/>
            <w:vAlign w:val="center"/>
          </w:tcPr>
          <w:p>
            <w:pPr>
              <w:pStyle w:val="TableContents"/>
              <w:bidi w:val="0"/>
              <w:spacing w:before="0" w:after="283"/>
              <w:jc w:val="left"/>
              <w:rPr/>
            </w:pPr>
            <w:r>
              <w:rPr/>
              <w:t> </w:t>
            </w:r>
          </w:p>
        </w:tc>
        <w:tc>
          <w:tcPr>
            <w:tcW w:w="8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Pony AI Inc. (Stock Code: 2026, Nasdaq Symbol: PONY), an exempted company with limited liability incorporated under the laws of the Cayman Islands on November 4, 2016</w:t>
            </w:r>
          </w:p>
        </w:tc>
      </w:tr>
      <w:tr>
        <w:trPr/>
        <w:tc>
          <w:tcPr>
            <w:tcW w:w="1408" w:type="dxa"/>
            <w:tcBorders/>
            <w:vAlign w:val="center"/>
          </w:tcPr>
          <w:p>
            <w:pPr>
              <w:pStyle w:val="TableContents"/>
              <w:bidi w:val="0"/>
              <w:spacing w:before="0" w:after="283"/>
              <w:jc w:val="left"/>
              <w:rPr/>
            </w:pPr>
            <w:r>
              <w:rPr/>
              <w:t>“</w:t>
            </w:r>
            <w:r>
              <w:rPr>
                <w:rFonts w:ascii="Times New Roman;Times;Serif" w:hAnsi="Times New Roman;Times;Serif"/>
                <w:sz w:val="20"/>
              </w:rPr>
              <w:t>Director(s)”</w:t>
            </w:r>
          </w:p>
        </w:tc>
        <w:tc>
          <w:tcPr>
            <w:tcW w:w="60" w:type="dxa"/>
            <w:tcBorders/>
            <w:vAlign w:val="center"/>
          </w:tcPr>
          <w:p>
            <w:pPr>
              <w:pStyle w:val="TableContents"/>
              <w:bidi w:val="0"/>
              <w:spacing w:before="0" w:after="283"/>
              <w:jc w:val="left"/>
              <w:rPr/>
            </w:pPr>
            <w:r>
              <w:rPr/>
              <w:t> </w:t>
            </w:r>
          </w:p>
        </w:tc>
        <w:tc>
          <w:tcPr>
            <w:tcW w:w="8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of the Company, from time to time</w:t>
            </w:r>
          </w:p>
        </w:tc>
      </w:tr>
      <w:tr>
        <w:trPr/>
        <w:tc>
          <w:tcPr>
            <w:tcW w:w="1408" w:type="dxa"/>
            <w:tcBorders/>
            <w:vAlign w:val="center"/>
          </w:tcPr>
          <w:p>
            <w:pPr>
              <w:pStyle w:val="TableContents"/>
              <w:bidi w:val="0"/>
              <w:spacing w:before="0" w:after="283"/>
              <w:jc w:val="left"/>
              <w:rPr/>
            </w:pPr>
            <w:r>
              <w:rPr/>
              <w:t>“</w:t>
            </w:r>
            <w:r>
              <w:rPr>
                <w:rFonts w:ascii="Times New Roman;Times;Serif" w:hAnsi="Times New Roman;Times;Serif"/>
                <w:sz w:val="20"/>
              </w:rPr>
              <w:t>Grantee(s)”</w:t>
            </w:r>
          </w:p>
        </w:tc>
        <w:tc>
          <w:tcPr>
            <w:tcW w:w="60" w:type="dxa"/>
            <w:tcBorders/>
            <w:vAlign w:val="center"/>
          </w:tcPr>
          <w:p>
            <w:pPr>
              <w:pStyle w:val="TableContents"/>
              <w:bidi w:val="0"/>
              <w:spacing w:before="0" w:after="283"/>
              <w:jc w:val="left"/>
              <w:rPr/>
            </w:pPr>
            <w:r>
              <w:rPr/>
              <w:t> </w:t>
            </w:r>
          </w:p>
        </w:tc>
        <w:tc>
          <w:tcPr>
            <w:tcW w:w="8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grantee(s) of the Employee Grants</w:t>
            </w:r>
          </w:p>
        </w:tc>
      </w:tr>
      <w:tr>
        <w:trPr/>
        <w:tc>
          <w:tcPr>
            <w:tcW w:w="1408" w:type="dxa"/>
            <w:tcBorders/>
            <w:vAlign w:val="center"/>
          </w:tcPr>
          <w:p>
            <w:pPr>
              <w:pStyle w:val="TableContents"/>
              <w:bidi w:val="0"/>
              <w:spacing w:before="0" w:after="283"/>
              <w:jc w:val="left"/>
              <w:rPr/>
            </w:pPr>
            <w:r>
              <w:rPr/>
              <w:t>“</w:t>
            </w:r>
            <w:r>
              <w:rPr>
                <w:rFonts w:ascii="Times New Roman;Times;Serif" w:hAnsi="Times New Roman;Times;Serif"/>
                <w:sz w:val="20"/>
              </w:rPr>
              <w:t>Group”</w:t>
            </w:r>
          </w:p>
        </w:tc>
        <w:tc>
          <w:tcPr>
            <w:tcW w:w="60" w:type="dxa"/>
            <w:tcBorders/>
            <w:vAlign w:val="center"/>
          </w:tcPr>
          <w:p>
            <w:pPr>
              <w:pStyle w:val="TableContents"/>
              <w:bidi w:val="0"/>
              <w:spacing w:before="0" w:after="283"/>
              <w:jc w:val="left"/>
              <w:rPr/>
            </w:pPr>
            <w:r>
              <w:rPr/>
              <w:t> </w:t>
            </w:r>
          </w:p>
        </w:tc>
        <w:tc>
          <w:tcPr>
            <w:tcW w:w="8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together with its subsidiaries from time to time</w:t>
            </w:r>
          </w:p>
        </w:tc>
      </w:tr>
      <w:tr>
        <w:trPr/>
        <w:tc>
          <w:tcPr>
            <w:tcW w:w="1408" w:type="dxa"/>
            <w:tcBorders/>
            <w:vAlign w:val="center"/>
          </w:tcPr>
          <w:p>
            <w:pPr>
              <w:pStyle w:val="TableContents"/>
              <w:bidi w:val="0"/>
              <w:spacing w:before="0" w:after="283"/>
              <w:jc w:val="left"/>
              <w:rPr/>
            </w:pPr>
            <w:r>
              <w:rPr/>
              <w:t>“</w:t>
            </w:r>
            <w:r>
              <w:rPr>
                <w:rFonts w:ascii="Times New Roman;Times;Serif" w:hAnsi="Times New Roman;Times;Serif"/>
                <w:sz w:val="20"/>
              </w:rPr>
              <w:t>Hong Kong”</w:t>
            </w:r>
          </w:p>
        </w:tc>
        <w:tc>
          <w:tcPr>
            <w:tcW w:w="60" w:type="dxa"/>
            <w:tcBorders/>
            <w:vAlign w:val="center"/>
          </w:tcPr>
          <w:p>
            <w:pPr>
              <w:pStyle w:val="TableContents"/>
              <w:bidi w:val="0"/>
              <w:spacing w:before="0" w:after="283"/>
              <w:jc w:val="left"/>
              <w:rPr/>
            </w:pPr>
            <w:r>
              <w:rPr/>
              <w:t> </w:t>
            </w:r>
          </w:p>
        </w:tc>
        <w:tc>
          <w:tcPr>
            <w:tcW w:w="8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Hong Kong Special Administrative Region of the People’s Republic of China</w:t>
            </w:r>
          </w:p>
        </w:tc>
      </w:tr>
      <w:tr>
        <w:trPr/>
        <w:tc>
          <w:tcPr>
            <w:tcW w:w="1408" w:type="dxa"/>
            <w:tcBorders/>
            <w:vAlign w:val="center"/>
          </w:tcPr>
          <w:p>
            <w:pPr>
              <w:pStyle w:val="TableContents"/>
              <w:bidi w:val="0"/>
              <w:spacing w:before="0" w:after="283"/>
              <w:jc w:val="left"/>
              <w:rPr/>
            </w:pPr>
            <w:r>
              <w:rPr/>
              <w:t>“</w:t>
            </w:r>
            <w:r>
              <w:rPr>
                <w:rFonts w:ascii="Times New Roman;Times;Serif" w:hAnsi="Times New Roman;Times;Serif"/>
                <w:sz w:val="20"/>
              </w:rPr>
              <w:t>Listing Rules”</w:t>
            </w:r>
          </w:p>
        </w:tc>
        <w:tc>
          <w:tcPr>
            <w:tcW w:w="60" w:type="dxa"/>
            <w:tcBorders/>
            <w:vAlign w:val="center"/>
          </w:tcPr>
          <w:p>
            <w:pPr>
              <w:pStyle w:val="TableContents"/>
              <w:bidi w:val="0"/>
              <w:spacing w:before="0" w:after="283"/>
              <w:jc w:val="left"/>
              <w:rPr/>
            </w:pPr>
            <w:r>
              <w:rPr/>
              <w:t> </w:t>
            </w:r>
          </w:p>
        </w:tc>
        <w:tc>
          <w:tcPr>
            <w:tcW w:w="8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Governing the Listing of Securities on the Main Board of the Stock Exchange</w:t>
            </w:r>
          </w:p>
        </w:tc>
      </w:tr>
      <w:tr>
        <w:trPr/>
        <w:tc>
          <w:tcPr>
            <w:tcW w:w="1408" w:type="dxa"/>
            <w:tcBorders/>
            <w:vAlign w:val="center"/>
          </w:tcPr>
          <w:p>
            <w:pPr>
              <w:pStyle w:val="TableContents"/>
              <w:bidi w:val="0"/>
              <w:spacing w:before="0" w:after="283"/>
              <w:jc w:val="left"/>
              <w:rPr/>
            </w:pPr>
            <w:r>
              <w:rPr/>
              <w:t>“</w:t>
            </w:r>
            <w:r>
              <w:rPr>
                <w:rFonts w:ascii="Times New Roman;Times;Serif" w:hAnsi="Times New Roman;Times;Serif"/>
                <w:sz w:val="20"/>
              </w:rPr>
              <w:t>RSU(s)”</w:t>
            </w:r>
          </w:p>
        </w:tc>
        <w:tc>
          <w:tcPr>
            <w:tcW w:w="60" w:type="dxa"/>
            <w:tcBorders/>
            <w:vAlign w:val="center"/>
          </w:tcPr>
          <w:p>
            <w:pPr>
              <w:pStyle w:val="TableContents"/>
              <w:bidi w:val="0"/>
              <w:spacing w:before="0" w:after="283"/>
              <w:jc w:val="left"/>
              <w:rPr/>
            </w:pPr>
            <w:r>
              <w:rPr/>
              <w:t> </w:t>
            </w:r>
          </w:p>
        </w:tc>
        <w:tc>
          <w:tcPr>
            <w:tcW w:w="8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share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43"/>
        <w:gridCol w:w="60"/>
        <w:gridCol w:w="8902"/>
      </w:tblGrid>
      <w:tr>
        <w:trPr/>
        <w:tc>
          <w:tcPr>
            <w:tcW w:w="1243" w:type="dxa"/>
            <w:tcBorders/>
            <w:vAlign w:val="center"/>
          </w:tcPr>
          <w:p>
            <w:pPr>
              <w:pStyle w:val="TableContents"/>
              <w:bidi w:val="0"/>
              <w:spacing w:before="0" w:after="283"/>
              <w:jc w:val="left"/>
              <w:rPr/>
            </w:pPr>
            <w:r>
              <w:rPr/>
              <w:t>“</w:t>
            </w:r>
            <w:r>
              <w:rPr>
                <w:rFonts w:ascii="Times New Roman;Times;Serif" w:hAnsi="Times New Roman;Times;Serif"/>
                <w:sz w:val="20"/>
              </w:rPr>
              <w:t>Scheme Limit”</w:t>
            </w:r>
          </w:p>
        </w:tc>
        <w:tc>
          <w:tcPr>
            <w:tcW w:w="60"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Class A Ordinary Shares and/or ADSs which may be issued pursuant to the awards granted and to be granted under the 2026 Share Scheme, when aggregated with the number of Class A Ordinary Shares and/or ADSs which may be issued pursuant to other awards schemes of the Company, which shall not exceed 10% of the total number of Shares in issue as at April 2, 2026 (being the date of adoption of the 2026 Share Scheme), i.e. 43,354,155 Class A Ordinary Shares (for the avoidance of doubt, including Class A Ordinary Shares and Class B Ordinary Shares but excluding any treasury shares)</w:t>
            </w:r>
          </w:p>
        </w:tc>
      </w:tr>
      <w:tr>
        <w:trPr/>
        <w:tc>
          <w:tcPr>
            <w:tcW w:w="1243" w:type="dxa"/>
            <w:tcBorders/>
            <w:vAlign w:val="center"/>
          </w:tcPr>
          <w:p>
            <w:pPr>
              <w:pStyle w:val="TableContents"/>
              <w:bidi w:val="0"/>
              <w:spacing w:before="0" w:after="283"/>
              <w:jc w:val="left"/>
              <w:rPr/>
            </w:pPr>
            <w:r>
              <w:rPr/>
              <w:t>“</w:t>
            </w:r>
            <w:r>
              <w:rPr>
                <w:rFonts w:ascii="Times New Roman;Times;Serif" w:hAnsi="Times New Roman;Times;Serif"/>
                <w:sz w:val="20"/>
              </w:rPr>
              <w:t>Service Providers Limit”</w:t>
            </w:r>
          </w:p>
        </w:tc>
        <w:tc>
          <w:tcPr>
            <w:tcW w:w="60"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Class A Ordinary Shares and/or ADSs which may be issued pursuant to the awards granted and to be granted to service providers under the 2026 Share Scheme, which shall not exceed 1.0% of the total number of Shares in issue as at April 2, 2026 (being the date of adoption of the 2026 Share Scheme), i.e. 4,335,415 Class A Ordinary Shares (for the avoidance of doubt, including Class A Ordinary Shares and Class B Ordinary Shares but excluding any treasury shares)</w:t>
            </w:r>
          </w:p>
        </w:tc>
      </w:tr>
      <w:tr>
        <w:trPr/>
        <w:tc>
          <w:tcPr>
            <w:tcW w:w="1243" w:type="dxa"/>
            <w:tcBorders/>
            <w:vAlign w:val="center"/>
          </w:tcPr>
          <w:p>
            <w:pPr>
              <w:pStyle w:val="TableContents"/>
              <w:bidi w:val="0"/>
              <w:spacing w:before="0" w:after="283"/>
              <w:jc w:val="left"/>
              <w:rPr/>
            </w:pPr>
            <w:r>
              <w:rPr/>
              <w:t>“</w:t>
            </w:r>
            <w:r>
              <w:rPr>
                <w:rFonts w:ascii="Times New Roman;Times;Serif" w:hAnsi="Times New Roman;Times;Serif"/>
                <w:sz w:val="20"/>
              </w:rPr>
              <w:t>Share(s)”</w:t>
            </w:r>
          </w:p>
        </w:tc>
        <w:tc>
          <w:tcPr>
            <w:tcW w:w="60"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A ordinary shares and the Class B ordinary shares in the share capital of the Company, as the context so requires</w:t>
            </w:r>
          </w:p>
        </w:tc>
      </w:tr>
      <w:tr>
        <w:trPr/>
        <w:tc>
          <w:tcPr>
            <w:tcW w:w="1243" w:type="dxa"/>
            <w:tcBorders/>
            <w:vAlign w:val="center"/>
          </w:tcPr>
          <w:p>
            <w:pPr>
              <w:pStyle w:val="TableContents"/>
              <w:bidi w:val="0"/>
              <w:spacing w:before="0" w:after="283"/>
              <w:jc w:val="left"/>
              <w:rPr/>
            </w:pPr>
            <w:r>
              <w:rPr/>
              <w:t>“</w:t>
            </w:r>
            <w:r>
              <w:rPr>
                <w:rFonts w:ascii="Times New Roman;Times;Serif" w:hAnsi="Times New Roman;Times;Serif"/>
                <w:sz w:val="20"/>
              </w:rPr>
              <w:t>Shareholder(s)”</w:t>
            </w:r>
          </w:p>
        </w:tc>
        <w:tc>
          <w:tcPr>
            <w:tcW w:w="60"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of Shares and, where the context requires, ADSs</w:t>
            </w:r>
          </w:p>
        </w:tc>
      </w:tr>
      <w:tr>
        <w:trPr/>
        <w:tc>
          <w:tcPr>
            <w:tcW w:w="1243" w:type="dxa"/>
            <w:tcBorders/>
            <w:vAlign w:val="center"/>
          </w:tcPr>
          <w:p>
            <w:pPr>
              <w:pStyle w:val="TableContents"/>
              <w:bidi w:val="0"/>
              <w:spacing w:before="0" w:after="283"/>
              <w:jc w:val="left"/>
              <w:rPr/>
            </w:pPr>
            <w:r>
              <w:rPr/>
              <w:t>“</w:t>
            </w:r>
            <w:r>
              <w:rPr>
                <w:rFonts w:ascii="Times New Roman;Times;Serif" w:hAnsi="Times New Roman;Times;Serif"/>
                <w:sz w:val="20"/>
              </w:rPr>
              <w:t>Stock Exchange”</w:t>
            </w:r>
          </w:p>
        </w:tc>
        <w:tc>
          <w:tcPr>
            <w:tcW w:w="60"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Stock Exchange of Hong Kong Limited</w:t>
            </w:r>
          </w:p>
        </w:tc>
      </w:tr>
      <w:tr>
        <w:trPr/>
        <w:tc>
          <w:tcPr>
            <w:tcW w:w="1243" w:type="dxa"/>
            <w:tcBorders/>
            <w:vAlign w:val="center"/>
          </w:tcPr>
          <w:p>
            <w:pPr>
              <w:pStyle w:val="TableContents"/>
              <w:bidi w:val="0"/>
              <w:spacing w:before="0" w:after="283"/>
              <w:jc w:val="left"/>
              <w:rPr/>
            </w:pPr>
            <w:r>
              <w:rPr/>
              <w:t>“</w:t>
            </w:r>
            <w:r>
              <w:rPr>
                <w:rFonts w:ascii="Times New Roman;Times;Serif" w:hAnsi="Times New Roman;Times;Serif"/>
                <w:sz w:val="20"/>
              </w:rPr>
              <w:t>treasury shares”</w:t>
            </w:r>
          </w:p>
        </w:tc>
        <w:tc>
          <w:tcPr>
            <w:tcW w:w="60"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meaning ascribed to it under the Listing Rules</w:t>
            </w:r>
          </w:p>
        </w:tc>
      </w:tr>
      <w:tr>
        <w:trPr/>
        <w:tc>
          <w:tcPr>
            <w:tcW w:w="1243" w:type="dxa"/>
            <w:tcBorders/>
            <w:vAlign w:val="center"/>
          </w:tcPr>
          <w:p>
            <w:pPr>
              <w:pStyle w:val="TableContents"/>
              <w:bidi w:val="0"/>
              <w:spacing w:before="0" w:after="283"/>
              <w:jc w:val="left"/>
              <w:rPr/>
            </w:pPr>
            <w:r>
              <w:rPr/>
              <w:t>“</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 cent</w:t>
            </w:r>
          </w:p>
        </w:tc>
      </w:tr>
    </w:tbl>
    <w:p>
      <w:pPr>
        <w:pStyle w:val="TextBody"/>
        <w:bidi w:val="0"/>
        <w:spacing w:before="0" w:after="0"/>
        <w:ind w:left="0" w:right="0" w:hanging="0"/>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75"/>
        <w:gridCol w:w="4235"/>
      </w:tblGrid>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 AI Inc.</w:t>
              <w:br/>
              <w:t>Dr. Jun Peng</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(i) Dr. Jun Peng and Dr. Tiancheng Lou as the executive directors; (ii) Mr. Fei Zhang and Mr. Takeo Hamada as the non-executive directors; and (iii) Mr. Jackson Peter Tai, Dr. Mark Qiu and Ms. Asmau Ahmed as the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1613</Words>
  <Characters>8058</Characters>
  <CharactersWithSpaces>9701</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