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561-3_4seq1.xml.htm"/>
      <w:bookmarkStart w:id="1" w:name="kstm2626561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ZHANG NING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PEARL DEVELOPMENT BLDG, 1 MINGZHU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STREET, HENGLI TOWN, NANSHA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511458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Pony AI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9"/>
        <w:gridCol w:w="904"/>
        <w:gridCol w:w="774"/>
        <w:gridCol w:w="600"/>
        <w:gridCol w:w="346"/>
        <w:gridCol w:w="924"/>
        <w:gridCol w:w="446"/>
        <w:gridCol w:w="882"/>
        <w:gridCol w:w="115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631,359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641,359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661,359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15,524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645,835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46,667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166,668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restricted stock units (RSUs) that vested and settled into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sold by the Reporting Person pursuant to a mandatory non-discretionary sell-to-cover arrangement for the purpose of satisfying income tax liabilities incurred upon vesting of previously reported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right to receive, upon vesting,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RSU award was granted on May 15, 2023. The vesting schedules are 25% of the total RSU granted shall vest on the first anniversary of April 1, 2023, and the remaining 75% of the total RSU granted are scheduled to vest equally with 6.25% at the 25th day of the last month of each quarter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RSU award was granted on December 10, 2023. The vesting schedules are 25% of the total RSU granted shall vest on the first anniversary of November 1, 2023, and the remaining 75% of the total RSU granted are scheduled to vest equally with 6.25% at the 25th day of the last month of each quarter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RSU award was granted on December 4, 2024. The vesting schedules are 25% of the total RSU granted shall vest on the first anniversary of October 31, 2024, and the remaining 75% of the total RSU granted are scheduled to vest equally with 6.25% at the 25th day of the last month of each quarter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grant does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Ning Zhang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339" TargetMode="External"/><Relationship Id="rId5" Type="http://schemas.openxmlformats.org/officeDocument/2006/relationships/hyperlink" Target="http://www.sec.gov/cgi-bin/browse-edgar?action=getcompany&amp;CIK=0001969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903</Words>
  <Characters>4668</Characters>
  <CharactersWithSpaces>5437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