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3382d1_6k.htm"/>
      <w:bookmarkStart w:id="1" w:name="kstm262338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21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338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3382d1_ex99-1.htm">
              <w:r>
                <w:rPr>
                  <w:rStyle w:val="InternetLink"/>
                  <w:sz w:val="20"/>
                </w:rPr>
                <w:t>Press Release titled “PONY AI Inc. Reports Second Quarter 2026 Financial Results: Total Revenues Up 68.8% YoY to US$36.2 mm with Robotaxi Services Revenue Up 691.2% to US$12.1 mm”</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3382d1_ex99-2.htm">
              <w:r>
                <w:rPr>
                  <w:rStyle w:val="InternetLink"/>
                  <w:sz w:val="20"/>
                </w:rPr>
                <w:t>99.2</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3382d1_ex99-2.htm">
              <w:r>
                <w:rPr>
                  <w:rStyle w:val="InternetLink"/>
                  <w:sz w:val="20"/>
                </w:rPr>
                <w:t>Interim Results Announcement for the Six Months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865"/>
        <w:gridCol w:w="320"/>
        <w:gridCol w:w="4475"/>
      </w:tblGrid>
      <w:tr>
        <w:trPr/>
        <w:tc>
          <w:tcPr>
            <w:tcW w:w="1865"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2" w:name="tm2623382d1_ex99-1.htm"/>
      <w:bookmarkStart w:id="3" w:name="kstm2623382d1_ex991"/>
      <w:bookmarkEnd w:id="2"/>
      <w:bookmarkEnd w:id="3"/>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714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715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 Reports Second Quarter 2026 Financial Results: Total Revenues Up 68.8% YoY to US$36.2 mm with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Robotaxi Services Revenue Up 691.2% to US$12.1 mm</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Robotaxi revenues growth</w:t>
            </w:r>
            <w:r>
              <w:rPr/>
              <w:t xml:space="preserve"> — Robotaxi revenues reached US$12.1 million, up 691.2% YoY in Q2, with fare-charging revenues rising by 849.3%.</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Rapid fleet scaling</w:t>
            </w:r>
            <w:r>
              <w:rPr/>
              <w:t xml:space="preserve"> — Our Robotaxi fleet expanded to 1,975 vehicles</w:t>
            </w:r>
            <w:r>
              <w:rPr>
                <w:position w:val="8"/>
                <w:sz w:val="19"/>
              </w:rPr>
              <w:t>1</w:t>
            </w:r>
            <w:r>
              <w:rPr/>
              <w:t>, as we continue scaling toward more than 3,500 vehicles by year end.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Strengthening our presence in tier-one cities —</w:t>
            </w:r>
            <w:r>
              <w:rPr/>
              <w:t xml:space="preserve"> </w:t>
            </w:r>
            <w:r>
              <w:rPr>
                <w:i/>
              </w:rPr>
              <w:t>PonyPilot</w:t>
            </w:r>
            <w:r>
              <w:rPr/>
              <w:t xml:space="preserve"> registered users in China surpassed 1.5 million</w:t>
            </w:r>
            <w:r>
              <w:rPr>
                <w:position w:val="8"/>
                <w:sz w:val="19"/>
              </w:rPr>
              <w:t>2</w:t>
            </w:r>
            <w:r>
              <w:rPr/>
              <w:t>, supported by increasing fleet density and broader operating coverage across key areas.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Accelerating global expansion</w:t>
            </w:r>
            <w:r>
              <w:rPr/>
              <w:t xml:space="preserve"> — We have secured multiple joint deployment model partners across overseas markets, including Uber for the contracted deployment of more than 2,000 Robotaxis in Europe, bringing the total number of vehicles under agreements in negotiation across international markets to over 4,000 Robotaxi vehicles.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 18, 2026 (GLOBE NEWSWIRE) — Pony AI Inc. (“Pony.ai” or the “Company”) (NASDAQ: PONY; HKEX: 2026), a global leader in achieving large-scale mass production and commercialization of autonomous driving technology, today announced its unaudited financial results for the quarter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James Peng, Chairman and Chief Executive Officer of Pony.ai, commented, “In the second quarter, we advanced the scaling and commercialization of our Robotaxi business, delivering strong revenue growth, rapid fleet expansion and broader operating coverage across China and overseas markets. In China, solid operating execution and an improved user experience supported a broader range of high-frequency mobility needs. Building on our operating track record in China, we continued to expand our international footprint, working with partners including Uber. At the same time, we will continue to expand our vehicle deployment across China’s tier-one cities to further strengthen our competitive position, while capturing incremental contributions from our growing overseas operations. We will continue to advance our full-year plans and are confident in our ability to exceed our full-year Robotaxi services revenues target, with further progress in overseas commercialization adding to our growth momentum.”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Tiancheng Lou, Chief Technology Officer of Pony.ai, commented, “Our strategic early investments in full-stack L4 autonomous technology and advanced world models are now translating into greater efficiency across research and development, testing and fleet operations. PonyWorld 2.0 enables us to deploy Robotaxi fleets across multiple countries and cities simultaneously without a proportionate increase in engineering resources. At the same time, technology-driven improvements in fleet operations enable our teams to support larger fleets. Together, these improvements in research and development and operating efficiency enable faster deployment and scaling of our Robotaxi operations across new markets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Leo Wang, Chief Financial Officer of Pony.ai, commented, “Our second-quarter financial performance reflects our continued progress in commercialization and operating efficiency. Robotaxi revenues increased by 691.2% year-over-year to US$12.1 million, led by an 849.3% increase in fare-charging revenues. In addition, revenue contribution from the joint deployment model increased quarter-over-quarter, highlighting the model’s potential to support scalable growth with improved capital efficiency. Operating expenses increased at a much slower pace than revenues, reflecting improving operating leverage and a disciplined approach to capital allocation, with a continued focus on capital efficiency and returns. We remain focused on converting our technology and operating strengths into sustainable, high-quality financial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Scaling Robotaxi Commercialization and Global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Delivering Strong Revenue Growth and Operating Momentum. </w:t>
            </w:r>
            <w:r>
              <w:rPr/>
              <w:t>1) Fare-charging revenues increased by more than 800% year-over-year in the second quarter, with both Robotaxi services revenues and fare-charging revenues reaching record highs. 2) Our global Robotaxi fleet reached 1,975 vehicles</w:t>
            </w:r>
            <w:r>
              <w:rPr>
                <w:position w:val="8"/>
                <w:sz w:val="19"/>
              </w:rPr>
              <w:t>1</w:t>
            </w:r>
            <w:r>
              <w:rPr/>
              <w:t xml:space="preserve">, representing steady progress toward our target of more than 3,500 vehicles by year-end. We expanded our operations in multiple cities, and all of our seventh-generation (“Gen-7”) Robotaxis, including the Beijing Automotive Industry Corporation (“BAIC”), Guangzhou Automotive Corporation (“GAC”) and Toyota models, are in daily service. 3) </w:t>
            </w:r>
            <w:r>
              <w:rPr>
                <w:i/>
              </w:rPr>
              <w:t>PonyPilot</w:t>
            </w:r>
            <w:r>
              <w:rPr/>
              <w:t xml:space="preserve"> registered users in China surpassed 1.5 million.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Expanding High-Density Urban Coverage and High-Value Mobility Use Cases in China. </w:t>
            </w:r>
            <w:r>
              <w:rPr/>
              <w:t>1) In Guangzhou, we extended our Robotaxi services into the city center, with operations spanning Haizhu District, Tianhe District, Huangpu District and Panyu District. Our operational area expanded by over 300 square kilometers</w:t>
            </w:r>
            <w:r>
              <w:rPr>
                <w:position w:val="8"/>
                <w:sz w:val="19"/>
              </w:rPr>
              <w:t>2</w:t>
            </w:r>
            <w:r>
              <w:rPr/>
              <w:t xml:space="preserve"> from the beginning of this year, covering a population of over 7 million. 2) In Shenzhen, building on our existing coverage of core urban areas, we extended our service network to three major transportation hubs, including Bao’an International Airport, Shenzhen Bay Port, and Shekou Cruise Port. 3) Our Robotaxi fleet continued to operate reliably under a range of demanding real-world conditions, including elevated demand during holiday periods, peak-hour traffic and heavy rainstorms.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Advancing Global Expansion through the Joint Deployment Model. </w:t>
            </w:r>
            <w:r>
              <w:rPr/>
              <w:t>1) Our operating track record in China’s tier-one cities, highlighted by proven driving performance, 24/7 reliability, and positive unit economics (“UE”), provides international partners with confidence in adopting our joint deployment model. 2) We have secured multiple joint deployment model partners across overseas markets, including Uber for the contracted deployment of more than 2,000 Robotaxis in Europe, bringing the total number of vehicles under agreements in negotiation across international markets to over 4,000 Robotaxi vehicles. 3) In Luxembourg, we continued to advance our Robotaxi deployment in collaboration with Bolt and Stellantis. 4) In Singapore, our Robotaxi service became available to the general public through ComfortDelGro’s Zig app. 5) Revenue contribution from the joint deployment model in China and overseas increased quarter-over-quarter in the second quarter of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Enhancing R&amp;D and Operating Efficiency with </w:t>
            </w:r>
            <w:r>
              <w:rPr>
                <w:b/>
                <w:i/>
              </w:rPr>
              <w:t>PonyWorld</w:t>
            </w:r>
            <w:r>
              <w:rPr>
                <w:b/>
              </w:rPr>
              <w:t xml:space="preserve"> 2.0.</w:t>
            </w:r>
            <w:r>
              <w:rPr/>
              <w:t xml:space="preserve"> 1) </w:t>
            </w:r>
            <w:r>
              <w:rPr>
                <w:i/>
              </w:rPr>
              <w:t>PonyWorld</w:t>
            </w:r>
            <w:r>
              <w:rPr/>
              <w:t xml:space="preserve"> 2.0 continued to enhance our R&amp;D efficiency, enabling faster deployment across new countries and cities, without a proportionate increase in engineering resources. 2) Technology-driven improvements in fleet operations continued to increase operational efficiency, enabling our teams to support larger Robotaxi fleets as deployment scales. 3) The combination of improved R&amp;D and operating efficiency enables faster deployment and scaling of our Robotaxi operations across new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Advancing Robotruck Commercialization and Gen-4 Robotruck Deployment</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Delivering Revenue Growth and Advancing Gen-4 Robotruck Deployment. </w:t>
            </w:r>
            <w:r>
              <w:rPr/>
              <w:t>1) We continued to deepen our collaboration with Sinotrans and Robotruck services revenues increased by 40.0% year-over-year in the second quarter of 2026. 2) Our fourth-generation (“Gen-4”) Robotrucks entered into mass production on schedule, supporting broader commercial deployment.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Expanding Commercial Deployment at Mawan Port. </w:t>
            </w:r>
            <w:r>
              <w:rPr/>
              <w:t>We partnered with China Merchants Port at Mawan Port in Shenzhen to commence commercial deployment of our Gen-4 driverless Robotrucks, where our Robotrucks operate in mixed-fleet port logistics operations alongside human-driven vehicles.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June 30,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As of August 16,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Unaudited Second Quarter Financial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6976" w:type="dxa"/>
        <w:jc w:val="left"/>
        <w:tblInd w:w="0" w:type="dxa"/>
        <w:tblLayout w:type="fixed"/>
        <w:tblCellMar>
          <w:top w:w="0" w:type="dxa"/>
          <w:left w:w="0" w:type="dxa"/>
          <w:bottom w:w="28" w:type="dxa"/>
          <w:right w:w="0" w:type="dxa"/>
        </w:tblCellMar>
      </w:tblPr>
      <w:tblGrid>
        <w:gridCol w:w="1685"/>
        <w:gridCol w:w="60"/>
        <w:gridCol w:w="109"/>
        <w:gridCol w:w="1080"/>
        <w:gridCol w:w="75"/>
        <w:gridCol w:w="75"/>
        <w:gridCol w:w="109"/>
        <w:gridCol w:w="1080"/>
        <w:gridCol w:w="60"/>
        <w:gridCol w:w="60"/>
        <w:gridCol w:w="109"/>
        <w:gridCol w:w="1080"/>
        <w:gridCol w:w="65"/>
        <w:gridCol w:w="65"/>
        <w:gridCol w:w="109"/>
        <w:gridCol w:w="1080"/>
        <w:gridCol w:w="75"/>
      </w:tblGrid>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USD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Robotaxi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Robotruck services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Intelligent solutions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14,878</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26,303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21,455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36,220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35,434</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70,470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were US$36.2 million (RMB245.8 million) in the second quarter of 2026, up 68.8% from US$21.5 million in the second quarter of 2025. The increase was mainly driven by strong growth in Robotaxi services revenues and Robotruck services revenues.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Robotaxi services revenues</w:t>
            </w:r>
            <w:r>
              <w:rPr/>
              <w:t xml:space="preserve"> were US$12.1 million (RMB81.9 million) in the second quarter of 2026, representing an increase of 691.2% from US$1.5 million in the second quarter of 2025. Specifically, fare-charging revenues grew by more than 800% year-over-year, primarily driven by the launch of the Gen-7 fleet and the expansion of our commercial Robotaxi operations. In addition, increased vehicle deployments under our joint deployment model also contributed to revenue growth in the quarter. Revenue contribution from the joint deployment model in China and overseas increased quarter-over-quarter in the second quarter of 2026.</w:t>
            </w:r>
          </w:p>
        </w:tc>
      </w:tr>
    </w:tbl>
    <w:p>
      <w:pPr>
        <w:pStyle w:val="TextBody"/>
        <w:bidi w:val="0"/>
        <w:spacing w:before="0" w:after="0"/>
        <w:ind w:left="0" w:right="0" w:firstLine="402"/>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Robotruck services revenues</w:t>
            </w:r>
            <w:r>
              <w:rPr/>
              <w:t xml:space="preserve"> were US$13.3 million (RMB90.4 million) in the second quarter of 2026, representing an increase of 40.0% from US$9.5 million in the second quarter of 2025. The increase was primarily attributable to growth in freight transportation services, supported by our collaboration with Sinotrans.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 xml:space="preserve">Intelligent solutions revenues </w:t>
            </w:r>
            <w:r>
              <w:rPr/>
              <w:t>were US$10.8 million (RMB73.4 million) in the second quarter of 2026, broadly flat compared to US$10.4 million in the second quarter of 2025, with growth moderating mainly due to delivery fluctuations from autonomous domain controllers (“ADC”).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financial reporting purposes, our revenues are classified into service revenues and product revenues based on the nature of the underlying revenue streams. </w:t>
      </w:r>
      <w:r>
        <w:rPr>
          <w:rFonts w:ascii="Times New Roman;Times;Serif" w:hAnsi="Times New Roman;Times;Serif"/>
          <w:b/>
          <w:i w:val="false"/>
          <w:caps w:val="false"/>
          <w:smallCaps w:val="false"/>
          <w:sz w:val="20"/>
        </w:rPr>
        <w:t>Service revenues</w:t>
      </w:r>
      <w:r>
        <w:rPr>
          <w:rFonts w:ascii="Times New Roman;Times;Serif" w:hAnsi="Times New Roman;Times;Serif"/>
          <w:b w:val="false"/>
          <w:i w:val="false"/>
          <w:caps w:val="false"/>
          <w:smallCaps w:val="false"/>
          <w:sz w:val="20"/>
        </w:rPr>
        <w:t xml:space="preserve"> were US$19.5 million (RMB132.1 million) in the second quarter of 2026, representing an increase of 71.9% from US$11.3 million in the second quarter of 2025, primarily attributable to Robotaxi services revenues and Robotruck transportation services revenues. </w:t>
      </w:r>
      <w:r>
        <w:rPr>
          <w:rFonts w:ascii="Times New Roman;Times;Serif" w:hAnsi="Times New Roman;Times;Serif"/>
          <w:b/>
          <w:i w:val="false"/>
          <w:caps w:val="false"/>
          <w:smallCaps w:val="false"/>
          <w:sz w:val="20"/>
        </w:rPr>
        <w:t>Product revenues</w:t>
      </w:r>
      <w:r>
        <w:rPr>
          <w:rFonts w:ascii="Times New Roman;Times;Serif" w:hAnsi="Times New Roman;Times;Serif"/>
          <w:b w:val="false"/>
          <w:i w:val="false"/>
          <w:caps w:val="false"/>
          <w:smallCaps w:val="false"/>
          <w:sz w:val="20"/>
        </w:rPr>
        <w:t xml:space="preserve"> were US$16.8 million (RMB113.7 million) in the second quarter of 2026, representing an increase of 65.4% from US$10.1 million in the second quarter of 2025, primarily attributable to higher deliveries of Robotaxi vehicles under our joint deployment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Total cost of revenues </w:t>
            </w:r>
            <w:r>
              <w:rPr/>
              <w:t>was US$29.9 million (RMB202.7 million) in the second quarter of 2026, representing an increase of 66.0% from US$18.0 million in the second quarter of 2025, broadly in line with revenue trends.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Gross profit </w:t>
            </w:r>
            <w:r>
              <w:rPr/>
              <w:t>was US$6.4 million (RMB43.1 million) in the second quarter of 2026, representing an increase of 83.4% from US$3.5 million in the second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Gross margin</w:t>
            </w:r>
            <w:r>
              <w:rPr/>
              <w:t xml:space="preserve"> was 17.5% in the second quarter of 2026, compared to 16.1% in the second quarter of 2025. The improvement was mainly driven by an improved revenue mix, with a higher contribution from Robotaxi services, including revenues generated under the joint deployment model, which generated relatively higher margins during the quarter.</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were US$72.1 million (RMB489.2 million) in the second quarter of 2026, representing an increase of 11.4% from US$64.7 million in the second quarter of 2025. Non-GAAP</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operating expenses were US$63.0 million (RMB427.8 million) in the second quarter of 2026, representing an increase of 9.6% from US$57.5 million in the second quarter of 2025. The increase was primarily driven by ongoing business expansion and our efforts to enhance R&amp;D capabilities, reflecting our continued investment to support commercialization.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Research and development expenses</w:t>
            </w:r>
            <w:r>
              <w:rPr/>
              <w:t xml:space="preserve"> were US$56.2 million (RMB381.6 million) in the second quarter of 2026, representing an increase of 14.7% from US$49.0 million in the second quarter of 2025. Non-GAAP research and development expenses were US$49.9 million (RMB338.4 million), representing an increase of 13.2% from US$44.1 million in the second quarter of 2025. The increase was primarily driven by i) higher personnel-related costs resulting from the expansion of our R&amp;D team to enhance our capacity for large-scale deployment, ii) higher expenses related to development and testing, a portion of which represented non-recurring expenses incurred in connection with the development and engineering validation of the upgraded vehicle models.</w:t>
            </w:r>
          </w:p>
        </w:tc>
      </w:tr>
    </w:tbl>
    <w:p>
      <w:pPr>
        <w:pStyle w:val="TextBody"/>
        <w:bidi w:val="0"/>
        <w:spacing w:before="0" w:after="0"/>
        <w:ind w:left="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Selling, general and administrative expenses</w:t>
            </w:r>
            <w:r>
              <w:rPr/>
              <w:t xml:space="preserve"> were US$15.9 million (RMB107.6 million) in the second quarter of 2026, broadly flat compared to US$15.7 million in the second quarter of 2025. Non-GAAP selling, general and administrative expenses were US$13.2 million (RMB89.3 million), broadly flat compared to US$13.5 million in the second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Loss from operations </w:t>
            </w:r>
            <w:r>
              <w:rPr/>
              <w:t>was US$65.7 million (RMB446.1 million) in the second quarter of 2026, representing an increase of 7.3% from US$61.3 million in the second quarter of 2025. Non-GAAP loss from operations was US$56.7 million (RMB384.7 million), representing an increase of 4.9% from US$54.1 million in the second quarter of 2025, primarily reflecting higher operating expenses discussed above, partially offset by improved gross profit.</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Operating loss margin </w:t>
            </w:r>
            <w:r>
              <w:rPr/>
              <w:t>was 181.5% in the second quarter of 2026, narrowing from 285.6% in the second quarter of 2025. Non-GAAP operating loss margin was 156.5% in the second quarter of 2026, narrowing from 252.0% in the second quarter of 2025. The year-over-year reductions in operating loss margin and non-GAAP operating loss margin primarily reflected improved operating leverage as our operations continued to scale.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 Net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Other expenses, net </w:t>
            </w:r>
            <w:r>
              <w:rPr/>
              <w:t>was US$23.4 million (RMB158.9 million) in the second quarter of 2026, compared to other income, net of US$3.2 million in the second quarter of 2025, primarily attributable to a one-off impairment provision of US$25.0 million recognized on certain prepayments for long-term investments, which were determined to be unrecoverable following proactive strategic adjustments to the relevant business and the engagement of new strategic partners to better support the long-term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Net loss </w:t>
            </w:r>
            <w:r>
              <w:rPr/>
              <w:t xml:space="preserve">was US$45.4 million (RMB307.7 million) in the second quarter of 2026, representing a decrease of 14.9% from US$53.3 million in the second quarter of 2025, primarily attributable to certain non-operating items, including an increase in fair value of trading securities, partially offset by certain other expenses recognized during the quarter. </w:t>
            </w:r>
            <w:r>
              <w:rPr>
                <w:b/>
              </w:rPr>
              <w:t>Non-GAAP net loss</w:t>
            </w:r>
            <w:r>
              <w:rPr/>
              <w:t xml:space="preserve"> was US$44.7 million (RMB303.4 million) in the second quarter of 2026, broadly flat compared to US$44.3 million in the second quarter of 2025, as the changes in fair value of trading securities, share based compensation expenses and the impairment loss discussed above were excluded from the Non-GAAP financial measures.</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Net loss margin </w:t>
            </w:r>
            <w:r>
              <w:rPr/>
              <w:t xml:space="preserve">was 125.2% in the second quarter of 2026, narrowing from 248.3% in the second quarter of 2025. </w:t>
            </w:r>
            <w:r>
              <w:rPr>
                <w:b/>
              </w:rPr>
              <w:t xml:space="preserve">Non-GAAP net loss margin </w:t>
            </w:r>
            <w:r>
              <w:rPr/>
              <w:t>was 123.5% in the second quarter of 2026, narrowing from 206.7% in the second quarter of 2025. The year-over-year reductions in both net loss margin and non-GAAP net loss margin primarily reflected improved operating leverage as our operations continued to scale. The reduction in net loss margin also reflected the impact of certain non-operating items.</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Pony AI Inc.</w:t>
      </w:r>
    </w:p>
    <w:p>
      <w:pPr>
        <w:pStyle w:val="TextBody"/>
        <w:bidi w:val="0"/>
        <w:spacing w:before="0" w:after="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Net loss attributable to Pony AI Inc.</w:t>
            </w:r>
            <w:r>
              <w:rPr/>
              <w:t xml:space="preserve"> was US$59.8 million (RMB406.0 million) in the second quarter of 2026, compared to US$53.1 million in the second quarter of 2025. The difference between total net loss and Net loss attributable to Pony AI Inc. is the US$14.5 million of net income allocated to non-controlling interests during the quarter.</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Loss per Ordinary Share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Basic and diluted net loss per ordinary share</w:t>
            </w:r>
            <w:r>
              <w:rPr/>
              <w:t xml:space="preserve"> was both US$0.14 (RMB0.95) in the second quarter of 2026, compared to US$0.14 in the second quarter of 2025. </w:t>
            </w:r>
            <w:r>
              <w:rPr>
                <w:b/>
              </w:rPr>
              <w:t>Non-GAAP basic and diluted net loss per ordinary share</w:t>
            </w:r>
            <w:r>
              <w:rPr/>
              <w:t xml:space="preserve"> was both US$0.10 (RMB0.68) in the second quarter of 2026, compared to US$0.12 in the second quarter of 2025. Each American depositary share (“</w:t>
            </w:r>
            <w:r>
              <w:rPr>
                <w:b/>
              </w:rPr>
              <w:t>ADS</w:t>
            </w:r>
            <w:r>
              <w:rPr/>
              <w:t>”) represents one Class A ordinary share.</w:t>
            </w:r>
          </w:p>
        </w:tc>
      </w:tr>
    </w:tbl>
    <w:p>
      <w:pPr>
        <w:pStyle w:val="TextBody"/>
        <w:bidi w:val="0"/>
        <w:spacing w:before="0" w:after="0"/>
        <w:ind w:left="226"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Cash and cash equivalents, short-term investments, restricted cash and long-term debt instruments for wealth management</w:t>
            </w:r>
            <w:r>
              <w:rPr/>
              <w:t xml:space="preserve"> were US$1,390.5 million (RMB9,434.9 million) as of June 30, 2026, compared to the balance of US$1,435.5 million as of March 31, 2026. The decrease primarily reflected operating cash outflows and capital expenditures during the period. </w:t>
            </w:r>
            <w:r>
              <w:rPr>
                <w:b/>
              </w:rPr>
              <w:t>Capital expenditures</w:t>
            </w:r>
            <w:r>
              <w:rPr/>
              <w:t xml:space="preserve"> were US$32.2 million (RMB218.2 million) in the second quarter of 2026, compared to US$9.6 million in the second quarter of 2025, primarily attributable to investments supporting the continued mass production and deployment of the Gen-7 Robotaxi fleet, as well as expenditures for data centers and servers.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Non-GAAP financial measures exclude share-based compensation expenses, changes in fair value of trading securities and a one-off impairment loss on prepayment for long-term investments as discussed under “Other Income (expenses), Net” section above. The exclusion of the impairment loss on prepayment for long-term investments is a new adjustment introduced in the second quarter of 2026. No comparable loss was recognized in the prior periods presented, and prior period non-GAAP measures are therefore unaffected by this change. Such adjustment has no impact on income tax. For further details, see the “Unaudited Reconciliation of U.S. GAAP and Non-GAAP Results” set forth at the end of this earnings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Pony.ai will hold a conference call at 8:00 AM U.S. Eastern Time on Tuesday, August 18, 2026 (8:00 PM Beijing/Hong Kong Time on the same day) to discuss financial results and answer questions from investors and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by phone, please complete the online registration process using the link provided below prior to the scheduled call start time. Upon registration, participants will receive a confirmation email containing dial-in numbers, passcode, and a unique access PIN.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 Online Registration: </w:t>
      </w:r>
      <w:r>
        <w:rPr>
          <w:rFonts w:ascii="Times New Roman;Times;Serif" w:hAnsi="Times New Roman;Times;Serif"/>
          <w:b w:val="false"/>
          <w:i w:val="false"/>
          <w:caps w:val="false"/>
          <w:smallCaps w:val="false"/>
          <w:sz w:val="20"/>
          <w:u w:val="single"/>
        </w:rPr>
        <w:t>https://dpregister.com/sreg/10210583/1047a46a6e9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through August 25, 2026,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760"/>
        <w:gridCol w:w="1370"/>
      </w:tblGrid>
      <w:tr>
        <w:trPr/>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United States:</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1-855-669-9658</w:t>
            </w:r>
          </w:p>
        </w:tc>
      </w:tr>
      <w:tr>
        <w:trPr/>
        <w:tc>
          <w:tcPr>
            <w:tcW w:w="1760" w:type="dxa"/>
            <w:tcBorders/>
            <w:vAlign w:val="center"/>
          </w:tcPr>
          <w:p>
            <w:pPr>
              <w:pStyle w:val="TableContents"/>
              <w:bidi w:val="0"/>
              <w:spacing w:before="0" w:after="283"/>
              <w:jc w:val="both"/>
              <w:rPr/>
            </w:pPr>
            <w:r>
              <w:rPr>
                <w:rFonts w:ascii="Times New Roman;Times;Serif" w:hAnsi="Times New Roman;Times;Serif"/>
                <w:sz w:val="20"/>
              </w:rPr>
              <w:t>International</w:t>
            </w:r>
            <w:r>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1-412-317-0088</w:t>
            </w:r>
          </w:p>
        </w:tc>
      </w:tr>
      <w:tr>
        <w:trPr/>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Replay Access Code:</w:t>
            </w:r>
          </w:p>
        </w:tc>
        <w:tc>
          <w:tcPr>
            <w:tcW w:w="1370" w:type="dxa"/>
            <w:tcBorders/>
            <w:vAlign w:val="center"/>
          </w:tcPr>
          <w:p>
            <w:pPr>
              <w:pStyle w:val="TableContents"/>
              <w:bidi w:val="0"/>
              <w:spacing w:before="0" w:after="283"/>
              <w:jc w:val="both"/>
              <w:rPr>
                <w:rFonts w:ascii="Times New Roman;Times;Serif" w:hAnsi="Times New Roman;Times;Serif"/>
                <w:color w:val="242424"/>
                <w:sz w:val="20"/>
                <w:shd w:fill="FFFFFF" w:val="clear"/>
              </w:rPr>
            </w:pPr>
            <w:r>
              <w:rPr>
                <w:rFonts w:ascii="Times New Roman;Times;Serif" w:hAnsi="Times New Roman;Times;Serif"/>
                <w:color w:val="242424"/>
                <w:sz w:val="20"/>
                <w:shd w:fill="FFFFFF" w:val="clear"/>
              </w:rPr>
              <w:t>1628020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https://ir.pony.ai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translations of certain RMB amounts into U.S. dollars (“US$” or “USD”) at specified rates solely for the convenience of the reader. Unless otherwise stated, all translations from RMB to US$ were made at the rate of RMB6.7851 to US$1.00, the noon buying rate in effect on June 30, 2026, in the H.10 statistical release of the Federal Reserve Board. The Company makes no representation that the RMB or US$ amounts referred could be converted into US$ or RMB, as the case may be, at any particular rate or at all. For analytical presentation, all percentages are calculated using the numbers presented in the financial statements contained in this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financial measures, such as non-GAAP research and development expenses, non-GAAP selling, general and administrative expenses, non-GAAP operating expenses, non-GAAP loss from operations, non-GAAP net loss, non-GAAP net loss attributable to Pony AI Inc., non-GAAP basic and diluted net loss per ordinary share, and non-GAAP free cash flows, in evaluating its operating results and for financial and operational decision-making purposes. By excluding the impact of share-based compensation expenses, changes in fair value of trading securities and impairment loss on prepayment for long-term investments,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financial information prepared in accordance with U.S. GAAP. The Company encourages investors and others to review its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mitigates these limitations by reconciling the non-GAAP financial measures to the most comparable U.S. GAAP performance measures, all of which should be considered when evaluating the Company’s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measures, please see the table captioned “Unaudited Reconciliation of U.S. GAAP and Non-GAAP Results” set forth at the end of this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Pony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Pony AI Inc. (NASDAQ: PONY; HKEX: 2026), founded in 2016, is a global leader in achieving large-scale mass production and commercialization of autonomous driving technology. Pony.ai is committed to delivering safe, advanced, and reliable autonomous driving technology and solutions. At the heart of Pony.ai’s strategy is its proprietary world model </w:t>
      </w:r>
      <w:r>
        <w:rPr>
          <w:rFonts w:ascii="Times New Roman;Times;Serif" w:hAnsi="Times New Roman;Times;Serif"/>
          <w:b w:val="false"/>
          <w:i/>
          <w:caps w:val="false"/>
          <w:smallCaps w:val="false"/>
          <w:sz w:val="20"/>
        </w:rPr>
        <w:t>PonyWorld</w:t>
      </w:r>
      <w:r>
        <w:rPr>
          <w:rFonts w:ascii="Times New Roman;Times;Serif" w:hAnsi="Times New Roman;Times;Serif"/>
          <w:b w:val="false"/>
          <w:i w:val="false"/>
          <w:caps w:val="false"/>
          <w:smallCaps w:val="false"/>
          <w:sz w:val="20"/>
        </w:rPr>
        <w:t> and its </w:t>
      </w:r>
      <w:r>
        <w:rPr>
          <w:rFonts w:ascii="Times New Roman;Times;Serif" w:hAnsi="Times New Roman;Times;Serif"/>
          <w:b w:val="false"/>
          <w:i/>
          <w:caps w:val="false"/>
          <w:smallCaps w:val="false"/>
          <w:sz w:val="20"/>
        </w:rPr>
        <w:t>Virtual Driver</w:t>
      </w:r>
      <w:r>
        <w:rPr>
          <w:rFonts w:ascii="Times New Roman;Times;Serif" w:hAnsi="Times New Roman;Times;Serif"/>
          <w:b w:val="false"/>
          <w:i w:val="false"/>
          <w:caps w:val="false"/>
          <w:smallCaps w:val="false"/>
          <w:sz w:val="20"/>
        </w:rPr>
        <w:t> technology. Together, they power the development and scaling of its Robotaxi services, Robotruck services, and Intelligent solutions businesses. With operations spanning China, Europe, East Asia, the Middle East, and beyond, Pony.ai stands among a select few companies globally to achieve fully driverless commercial operations. Pony.ai has forged deep and extensive partnerships across the autonomous driving value chain, enabling it to accelerate the commercialization of autonomous driving in line with its ultimate vision: “Autonomous Mobility Everywhere.” For more information, please visit: </w:t>
      </w:r>
      <w:r>
        <w:rPr>
          <w:rFonts w:ascii="Times New Roman;Times;Serif" w:hAnsi="Times New Roman;Times;Serif"/>
          <w:b w:val="false"/>
          <w:i w:val="false"/>
          <w:caps w:val="false"/>
          <w:smallCaps w:val="false"/>
          <w:sz w:val="20"/>
          <w:u w:val="single"/>
        </w:rPr>
        <w:t>https://ir.pony.ai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Pony.ai’s beliefs, plans, and expectations, such as the expectation of exceeding annual robotaxi services revenue target, expected Robotaxi year-end fleet size and expected city deployment, are forward-looking statements. Forward-looking statements involve inherent risks and uncertainties. Further information regarding these and other risks is included in Pony.ai’s filings with the SEC and the Hong Kong Stock Exchange. All information provided in this press release is as of the date of this press release, and Pony.ai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Pony.ai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ir@pony.ai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USD thousands)</w:t>
      </w:r>
    </w:p>
    <w:p>
      <w:pPr>
        <w:pStyle w:val="TextBody"/>
        <w:bidi w:val="0"/>
        <w:spacing w:before="0" w:after="0"/>
        <w:ind w:left="0" w:right="0" w:hanging="0"/>
        <w:jc w:val="center"/>
        <w:rPr>
          <w:caps w:val="false"/>
          <w:smallCaps w:val="false"/>
        </w:rPr>
      </w:pPr>
      <w:r>
        <w:rPr>
          <w:caps w:val="false"/>
          <w:smallCaps w:val="false"/>
        </w:rPr>
        <w:t> </w:t>
      </w:r>
    </w:p>
    <w:tbl>
      <w:tblPr>
        <w:tblW w:w="6823" w:type="dxa"/>
        <w:jc w:val="left"/>
        <w:tblInd w:w="0" w:type="dxa"/>
        <w:tblLayout w:type="fixed"/>
        <w:tblCellMar>
          <w:top w:w="0" w:type="dxa"/>
          <w:left w:w="0" w:type="dxa"/>
          <w:bottom w:w="0" w:type="dxa"/>
          <w:right w:w="0" w:type="dxa"/>
        </w:tblCellMar>
      </w:tblPr>
      <w:tblGrid>
        <w:gridCol w:w="3740"/>
        <w:gridCol w:w="60"/>
        <w:gridCol w:w="108"/>
        <w:gridCol w:w="1531"/>
        <w:gridCol w:w="60"/>
        <w:gridCol w:w="60"/>
        <w:gridCol w:w="78"/>
        <w:gridCol w:w="1111"/>
        <w:gridCol w:w="7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293,489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327,111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872,158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787,008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1,250,639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1,236,812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for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562,198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501,827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1,812,837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1,738,639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Pony AI Inc.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1,652,277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1,575,534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1,708,999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1,645,634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1,812,837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1,738,639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USD thousands, except for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43"/>
        <w:gridCol w:w="60"/>
        <w:gridCol w:w="61"/>
        <w:gridCol w:w="1084"/>
        <w:gridCol w:w="80"/>
        <w:gridCol w:w="60"/>
        <w:gridCol w:w="61"/>
        <w:gridCol w:w="1084"/>
        <w:gridCol w:w="80"/>
        <w:gridCol w:w="60"/>
        <w:gridCol w:w="61"/>
        <w:gridCol w:w="1084"/>
        <w:gridCol w:w="80"/>
        <w:gridCol w:w="60"/>
        <w:gridCol w:w="61"/>
        <w:gridCol w:w="1084"/>
        <w:gridCol w:w="102"/>
      </w:tblGrid>
      <w:tr>
        <w:trPr/>
        <w:tc>
          <w:tcPr>
            <w:tcW w:w="5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14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gridSpan w:val="2"/>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36,194</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34,276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70,470</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(58,559</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11,911</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(104,114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(31,876</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(64,731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(72,092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(123,090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(135,990</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(61,268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(65,742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(117,311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(124,079</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22,200</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of trading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(22,644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(53,262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(90,639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(98,860</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(53,263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(45,350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(90,640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(98,861</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11,390</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Pony AI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(53,098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(59,844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(110,251</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 used in computing net loss per ordinary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366,831,015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433,551,136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359,375,886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433,546,371</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ordinary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(53,263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(45,350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(90,640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(98,861</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available-for-sale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22,106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(53,300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(104,297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(76,755</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(loss)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13,378</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attributable to Pony AI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(53,166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(48,462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(104,045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(90,133</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USD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3"/>
        <w:gridCol w:w="60"/>
        <w:gridCol w:w="87"/>
        <w:gridCol w:w="1014"/>
        <w:gridCol w:w="84"/>
        <w:gridCol w:w="63"/>
        <w:gridCol w:w="87"/>
        <w:gridCol w:w="1014"/>
        <w:gridCol w:w="80"/>
        <w:gridCol w:w="60"/>
        <w:gridCol w:w="81"/>
        <w:gridCol w:w="1032"/>
        <w:gridCol w:w="80"/>
        <w:gridCol w:w="60"/>
        <w:gridCol w:w="81"/>
        <w:gridCol w:w="1032"/>
        <w:gridCol w:w="97"/>
      </w:tblGrid>
      <w:tr>
        <w:trPr/>
        <w:tc>
          <w:tcPr>
            <w:tcW w:w="5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7" w:type="dxa"/>
            <w:tcBorders/>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(25,411</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(118,215</w:t>
            </w:r>
          </w:p>
        </w:tc>
        <w:tc>
          <w:tcPr>
            <w:tcW w:w="97"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(67,145</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(160,416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160,870</w:t>
            </w:r>
          </w:p>
        </w:tc>
        <w:tc>
          <w:tcPr>
            <w:tcW w:w="97"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33,086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w:t>
            </w:r>
          </w:p>
        </w:tc>
        <w:tc>
          <w:tcPr>
            <w:tcW w:w="97"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(6,086</w:t>
            </w:r>
          </w:p>
        </w:tc>
        <w:tc>
          <w:tcPr>
            <w:tcW w:w="97" w:type="dxa"/>
            <w:tcBorders/>
            <w:shd w:fill="FFFF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(60,637</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(217,431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36,193</w:t>
            </w:r>
          </w:p>
        </w:tc>
        <w:tc>
          <w:tcPr>
            <w:tcW w:w="97"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1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379,378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295,713</w:t>
            </w:r>
          </w:p>
        </w:tc>
        <w:tc>
          <w:tcPr>
            <w:tcW w:w="97"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1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318,741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331,906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318,741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331,906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U.S. GAAP and Non-GAAP Results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USD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70"/>
        <w:gridCol w:w="60"/>
        <w:gridCol w:w="60"/>
        <w:gridCol w:w="1055"/>
        <w:gridCol w:w="80"/>
        <w:gridCol w:w="60"/>
        <w:gridCol w:w="60"/>
        <w:gridCol w:w="1055"/>
        <w:gridCol w:w="80"/>
        <w:gridCol w:w="60"/>
        <w:gridCol w:w="60"/>
        <w:gridCol w:w="1055"/>
        <w:gridCol w:w="80"/>
        <w:gridCol w:w="60"/>
        <w:gridCol w:w="60"/>
        <w:gridCol w:w="1055"/>
        <w:gridCol w:w="95"/>
      </w:tblGrid>
      <w:tr>
        <w:trPr/>
        <w:tc>
          <w:tcPr>
            <w:tcW w:w="5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(44,060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(49,878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(84,642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(95,132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(31,876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(13,466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(13,167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(22,231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(27,240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(63,045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(106,873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(122,372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(54,063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(56,695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(101,094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(110,461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of trading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prepayment for 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loss</w:t>
            </w:r>
            <w:r>
              <w:rPr>
                <w:rFonts w:ascii="Times New Roman;Times;Serif" w:hAnsi="Times New Roman;Times;Serif"/>
                <w:b/>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(44,348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(44,718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(68,189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(85,906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Pony AI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of trading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prepayment for 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loss attributable to Pony AI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(44,183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(73,635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(85,217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 used in computing net loss per ordinary share,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366,831,015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433,551,136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359,375,886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433,546,371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loss per ordinary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flows</w:t>
            </w:r>
            <w:r>
              <w:rPr>
                <w:rFonts w:ascii="Times New Roman;Times;Serif" w:hAnsi="Times New Roman;Times;Serif"/>
                <w:b/>
                <w:i w:val="false"/>
                <w:caps w:val="false"/>
                <w:smallCaps w:val="false"/>
                <w:position w:val="7"/>
                <w:sz w:val="16"/>
                <w:sz w:val="20"/>
              </w:rPr>
              <w:t>5</w:t>
            </w:r>
            <w:r>
              <w:rPr>
                <w:rFonts w:ascii="Times New Roman;Times;Serif" w:hAnsi="Times New Roman;Times;Serif"/>
                <w:b/>
                <w:i w:val="false"/>
                <w:caps w:val="false"/>
                <w:smallCaps w:val="false"/>
                <w:sz w:val="20"/>
              </w:rPr>
              <w:t xml:space="preserve">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(34,987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(76,177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(162,833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Such adjustments have no impact on income tax for the three-month and six-month periods ended June 30, 2025 and 2026, as no deferred tax has been recognized in respect of the temporary differences arising from these Non-GAAP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Free Cash Flows are a non-GAAP measure, commonly defined as cash flows from operating activities as presented in the statement of cash flows, less capital expenditures. However, in the context of the Company, operating cash flows are a cash out (i.e., a cash outflow). Free Cash Flows represent the total of operating cash outflows plus capital expenditures. This metric reflects the Company’s important cash outflows, as it combines the funds required to maintain operations and invest in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tm2623382d1_ex99-2.htm"/>
      <w:bookmarkStart w:id="5" w:name="kstm2623382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00225"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628650"/>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Pony AI Inc.</w:t>
      </w:r>
    </w:p>
    <w:p>
      <w:pPr>
        <w:pStyle w:val="TextBody"/>
        <w:bidi w:val="0"/>
        <w:spacing w:before="0" w:after="0"/>
        <w:jc w:val="center"/>
        <w:rPr>
          <w:caps w:val="false"/>
          <w:smallCaps w:val="false"/>
          <w:color w:val="231F20"/>
        </w:rPr>
      </w:pPr>
      <w:r>
        <w:rPr>
          <w:rFonts w:eastAsia="Times New Roman;Times;Serif"/>
          <w:b/>
          <w:i w:val="false"/>
          <w:caps w:val="false"/>
          <w:smallCaps w:val="false"/>
          <w:color w:val="231F20"/>
          <w:sz w:val="28"/>
        </w:rPr>
        <w:t>小馬智行</w:t>
      </w:r>
      <w:r>
        <w:rPr>
          <w:rFonts w:ascii="Times New Roman;Times;Serif" w:hAnsi="Times New Roman;Times;Serif"/>
          <w:b/>
          <w:i w:val="false"/>
          <w:caps w:val="false"/>
          <w:smallCaps w:val="false"/>
          <w:color w:val="231F20"/>
          <w:sz w:val="28"/>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INTERIM RESULTS ANNOUNCEMENT</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(the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directors (the “</w:t>
      </w:r>
      <w:r>
        <w:rPr>
          <w:rFonts w:ascii="Times New Roman;Times;Serif" w:hAnsi="Times New Roman;Times;Serif"/>
          <w:b/>
          <w:i w:val="false"/>
          <w:caps w:val="false"/>
          <w:smallCaps w:val="false"/>
          <w:color w:val="231F20"/>
          <w:sz w:val="20"/>
        </w:rPr>
        <w:t>Directors</w:t>
      </w:r>
      <w:r>
        <w:rPr>
          <w:rFonts w:ascii="Times New Roman;Times;Serif" w:hAnsi="Times New Roman;Times;Serif"/>
          <w:b w:val="false"/>
          <w:i w:val="false"/>
          <w:caps w:val="false"/>
          <w:smallCaps w:val="false"/>
          <w:color w:val="231F20"/>
          <w:sz w:val="20"/>
        </w:rPr>
        <w:t>”) of Pony AI Inc.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is pleased to announce the unaudited interim consolidated results of the Company for the six months ended June 30, 2026 (the “</w:t>
      </w:r>
      <w:r>
        <w:rPr>
          <w:rFonts w:ascii="Times New Roman;Times;Serif" w:hAnsi="Times New Roman;Times;Serif"/>
          <w:b/>
          <w:i w:val="false"/>
          <w:caps w:val="false"/>
          <w:smallCaps w:val="false"/>
          <w:color w:val="231F20"/>
          <w:sz w:val="20"/>
        </w:rPr>
        <w:t>Reporting Period</w:t>
      </w:r>
      <w:r>
        <w:rPr>
          <w:rFonts w:ascii="Times New Roman;Times;Serif" w:hAnsi="Times New Roman;Times;Serif"/>
          <w:b w:val="false"/>
          <w:i w:val="false"/>
          <w:caps w:val="false"/>
          <w:smallCaps w:val="false"/>
          <w:color w:val="231F20"/>
          <w:sz w:val="20"/>
        </w:rPr>
        <w:t>”), together with the comparative figures for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These interim results have been prepared under generally accepted accounting principles in the United States of America (the “</w:t>
      </w:r>
      <w:r>
        <w:rPr>
          <w:rFonts w:ascii="Times New Roman;Times;Serif" w:hAnsi="Times New Roman;Times;Serif"/>
          <w:b/>
          <w:i w:val="false"/>
          <w:caps w:val="false"/>
          <w:smallCaps w:val="false"/>
          <w:color w:val="231F20"/>
          <w:sz w:val="20"/>
        </w:rPr>
        <w:t>U.S. GAAP</w:t>
      </w:r>
      <w:r>
        <w:rPr>
          <w:rFonts w:ascii="Times New Roman;Times;Serif" w:hAnsi="Times New Roman;Times;Serif"/>
          <w:b w:val="false"/>
          <w:i w:val="false"/>
          <w:caps w:val="false"/>
          <w:smallCaps w:val="false"/>
          <w:color w:val="231F20"/>
          <w:sz w:val="20"/>
        </w:rPr>
        <w:t>”) and have been reviewed by the audit committee of the Board (the “</w:t>
      </w:r>
      <w:r>
        <w:rPr>
          <w:rFonts w:ascii="Times New Roman;Times;Serif" w:hAnsi="Times New Roman;Times;Serif"/>
          <w:b/>
          <w:i w:val="false"/>
          <w:caps w:val="false"/>
          <w:smallCaps w:val="false"/>
          <w:color w:val="231F20"/>
          <w:sz w:val="20"/>
        </w:rPr>
        <w:t>Audit Committee</w:t>
      </w:r>
      <w:r>
        <w:rPr>
          <w:rFonts w:ascii="Times New Roman;Times;Serif" w:hAnsi="Times New Roman;Times;Serif"/>
          <w:b w:val="false"/>
          <w:i w:val="false"/>
          <w:caps w:val="false"/>
          <w:smallCaps w:val="false"/>
          <w:color w:val="231F20"/>
          <w:sz w:val="20"/>
        </w:rPr>
        <w:t>”). The unaudited condensed interim consolidated financial information for the Reporting Period was reviewed by Messrs. Deloitte Touche Tohmatsu, the independent auditor of the Company, in accordance with Hong Kong Standard on Review Engagements 2410 “</w:t>
      </w:r>
      <w:r>
        <w:rPr>
          <w:rFonts w:ascii="Times New Roman;Times;Serif" w:hAnsi="Times New Roman;Times;Serif"/>
          <w:b w:val="false"/>
          <w:i/>
          <w:caps w:val="false"/>
          <w:smallCaps w:val="false"/>
          <w:color w:val="231F20"/>
          <w:sz w:val="20"/>
        </w:rPr>
        <w:t>Review of Interim Financial Information Performed by the Independent Auditor of the Entity” issued by the Hong Kong Institute of Certified Public Accountants</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this announcement, “we,” “us,” and “our” refer to the Company and where the context otherwise requires, the Group (as defined under the “General Information” heading in the “Notes to the Unaudited Condensed Consolidated Financial Information”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identification purposes only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p>
      <w:pPr>
        <w:pStyle w:val="TextBody"/>
        <w:bidi w:val="0"/>
        <w:spacing w:before="0" w:after="0"/>
        <w:ind w:left="360" w:right="0" w:hanging="0"/>
        <w:jc w:val="left"/>
        <w:rPr>
          <w:rFonts w:ascii="Times New Roman;Times;Serif" w:hAnsi="Times New Roman;Times;Serif"/>
          <w:b/>
          <w:i w:val="false"/>
          <w:caps w:val="false"/>
          <w:smallCaps w:val="false"/>
          <w:color w:val="231F20"/>
          <w:sz w:val="20"/>
          <w:bdr w:val="single" w:sz="8" w:space="10" w:color="000000"/>
        </w:rPr>
      </w:pPr>
      <w:r>
        <w:rPr>
          <w:rFonts w:ascii="Times New Roman;Times;Serif" w:hAnsi="Times New Roman;Times;Serif"/>
          <w:b/>
          <w:i w:val="false"/>
          <w:caps w:val="false"/>
          <w:smallCaps w:val="false"/>
          <w:color w:val="231F20"/>
          <w:sz w:val="20"/>
          <w:bdr w:val="single" w:sz="8" w:space="10" w:color="000000"/>
        </w:rPr>
        <w:t>OPERATING AND FINANCIAL PERFORMANCE HIGHLIGHTS</w:t>
      </w:r>
    </w:p>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p>
      <w:pPr>
        <w:pStyle w:val="TextBody"/>
        <w:bidi w:val="0"/>
        <w:spacing w:before="0" w:after="0"/>
        <w:ind w:left="360" w:right="0" w:hanging="0"/>
        <w:jc w:val="left"/>
        <w:rPr>
          <w:rFonts w:ascii="Times New Roman;Times;Serif" w:hAnsi="Times New Roman;Times;Serif"/>
          <w:b/>
          <w:i w:val="false"/>
          <w:caps w:val="false"/>
          <w:smallCaps w:val="false"/>
          <w:color w:val="231F20"/>
          <w:sz w:val="20"/>
          <w:bdr w:val="single" w:sz="8" w:space="10" w:color="000000"/>
        </w:rPr>
      </w:pPr>
      <w:r>
        <w:rPr>
          <w:rFonts w:ascii="Times New Roman;Times;Serif" w:hAnsi="Times New Roman;Times;Serif"/>
          <w:b/>
          <w:i w:val="false"/>
          <w:caps w:val="false"/>
          <w:smallCaps w:val="false"/>
          <w:color w:val="231F20"/>
          <w:sz w:val="20"/>
          <w:bdr w:val="single" w:sz="8" w:space="10" w:color="000000"/>
        </w:rPr>
        <w:t>Latest Business Update</w:t>
      </w:r>
    </w:p>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Our global Robotaxi fleet expanded to 1,975 vehicles</w:t>
            </w:r>
            <w:r>
              <w:rPr>
                <w:position w:val="7"/>
                <w:sz w:val="16"/>
                <w:sz w:val="20"/>
              </w:rPr>
              <w:t>(1)</w:t>
            </w:r>
            <w:r>
              <w:rPr/>
              <w:t>, supporting the continued scaling of our commercial operations across China and overseas markets.</w:t>
            </w:r>
          </w:p>
        </w:tc>
      </w:tr>
    </w:tbl>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i/>
                <w:sz w:val="20"/>
              </w:rPr>
              <w:t xml:space="preserve">PonyPilot </w:t>
            </w:r>
            <w:r>
              <w:rPr/>
              <w:t>registered users in China surpassed 1.5 million</w:t>
            </w:r>
            <w:r>
              <w:rPr>
                <w:position w:val="7"/>
                <w:sz w:val="16"/>
                <w:sz w:val="20"/>
              </w:rPr>
              <w:t>(2)</w:t>
            </w:r>
            <w:r>
              <w:rPr/>
              <w:t>, supported by increasing fleet density and broader operating coverage across key areas.</w:t>
            </w:r>
          </w:p>
        </w:tc>
      </w:tr>
    </w:tbl>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We have secured multiple joint deployment model partners across overseas markets, including Uber for the contracted deployment of more than 2,000 Robotaxi vehicles in Europe, bringing the total number of vehicles under agreements in negotiation across international markets to over 4,000 Robotaxi vehicles.</w:t>
            </w:r>
          </w:p>
        </w:tc>
      </w:tr>
    </w:tbl>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p>
      <w:pPr>
        <w:pStyle w:val="TextBody"/>
        <w:bidi w:val="0"/>
        <w:spacing w:before="0" w:after="0"/>
        <w:ind w:left="360" w:right="0" w:hanging="0"/>
        <w:jc w:val="left"/>
        <w:rPr>
          <w:rFonts w:ascii="Times New Roman;Times;Serif" w:hAnsi="Times New Roman;Times;Serif"/>
          <w:b/>
          <w:i w:val="false"/>
          <w:caps w:val="false"/>
          <w:smallCaps w:val="false"/>
          <w:color w:val="231F20"/>
          <w:sz w:val="20"/>
          <w:bdr w:val="single" w:sz="8" w:space="10" w:color="000000"/>
        </w:rPr>
      </w:pPr>
      <w:r>
        <w:rPr>
          <w:rFonts w:ascii="Times New Roman;Times;Serif" w:hAnsi="Times New Roman;Times;Serif"/>
          <w:b/>
          <w:i w:val="false"/>
          <w:caps w:val="false"/>
          <w:smallCaps w:val="false"/>
          <w:color w:val="231F20"/>
          <w:sz w:val="20"/>
          <w:bdr w:val="single" w:sz="8" w:space="10" w:color="000000"/>
        </w:rPr>
        <w:t>Highlights for the six months ended June 30, 2026</w:t>
      </w:r>
    </w:p>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 xml:space="preserve">Robotaxi services revenues </w:t>
            </w:r>
            <w:r>
              <w:rPr/>
              <w:t>were USD20.6 million for the six months ended June 30, 2026, representing an increase of 534.0% from USD3.3 million for the six months ended June 30, 2025. Notably, fare-charging revenues grew by 456.5% year-over-year in the first quarter of 2026, with growth further accelerating to 849.3% year-over-year in the second quarter of 2026.</w:t>
            </w:r>
          </w:p>
        </w:tc>
      </w:tr>
    </w:tbl>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 xml:space="preserve">Total revenues </w:t>
            </w:r>
            <w:r>
              <w:rPr/>
              <w:t>were USD70.5 million for the six months ended June 30, 2026, representing an increase of 98.9% from USD35.4 million for the six months ended June 30, 2025.</w:t>
            </w:r>
          </w:p>
        </w:tc>
      </w:tr>
    </w:tbl>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 xml:space="preserve">Gross margin </w:t>
            </w:r>
            <w:r>
              <w:rPr/>
              <w:t>expanded to 16.9% for the six months ended June 30, 2026, from 16.3% for the six months ended June 30, 2025.</w:t>
            </w:r>
          </w:p>
        </w:tc>
      </w:tr>
    </w:tbl>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 xml:space="preserve">Net loss </w:t>
            </w:r>
            <w:r>
              <w:rPr/>
              <w:t xml:space="preserve">was USD98.9 million for the six months ended June 30, 2026, compared to USD90.6 million for the six months ended June 30, 2025. </w:t>
            </w:r>
            <w:r>
              <w:rPr>
                <w:b/>
              </w:rPr>
              <w:t xml:space="preserve">Net loss margin </w:t>
            </w:r>
            <w:r>
              <w:rPr/>
              <w:t>was 140.3% for the six months ended June 30, 2026, compared to 255.8% for the six months ended June 30, 2025.</w:t>
            </w:r>
          </w:p>
        </w:tc>
      </w:tr>
    </w:tbl>
    <w:p>
      <w:pPr>
        <w:pStyle w:val="TextBody"/>
        <w:bidi w:val="0"/>
        <w:spacing w:before="0" w:after="0"/>
        <w:ind w:left="0" w:right="0" w:hanging="0"/>
        <w:jc w:val="left"/>
        <w:rPr>
          <w:caps w:val="false"/>
          <w:smallCaps w:val="false"/>
          <w:bdr w:val="single" w:sz="8" w:space="10" w:color="000000"/>
        </w:rPr>
      </w:pPr>
      <w:r>
        <w:rPr>
          <w:caps w:val="false"/>
          <w:smallCaps w:val="false"/>
          <w:bdr w:val="single" w:sz="8" w:space="10"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 xml:space="preserve">Non-GAAP net loss </w:t>
            </w:r>
            <w:r>
              <w:rPr/>
              <w:t xml:space="preserve">was USD85.9 million for the six months ended June 30, 2026, compared to USD68.2 million for the six months ended June 30, 2025. </w:t>
            </w:r>
            <w:r>
              <w:rPr>
                <w:b/>
              </w:rPr>
              <w:t xml:space="preserve">Non-GAAP net loss margin </w:t>
            </w:r>
            <w:r>
              <w:rPr/>
              <w:t>was 121.9% for the six months ended June 30, 2026, compared to 192.4% for the six months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29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015" w:type="dxa"/>
            <w:tcBorders/>
            <w:vAlign w:val="center"/>
          </w:tcPr>
          <w:p>
            <w:pPr>
              <w:pStyle w:val="TableContents"/>
              <w:bidi w:val="0"/>
              <w:spacing w:before="0" w:after="283"/>
              <w:jc w:val="both"/>
              <w:rPr/>
            </w:pPr>
            <w:r>
              <w:rPr/>
              <w:t>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29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2270" w:type="dxa"/>
            <w:tcBorders/>
            <w:vAlign w:val="center"/>
          </w:tcPr>
          <w:p>
            <w:pPr>
              <w:pStyle w:val="TableContents"/>
              <w:bidi w:val="0"/>
              <w:spacing w:before="0" w:after="283"/>
              <w:jc w:val="both"/>
              <w:rPr/>
            </w:pPr>
            <w:r>
              <w:rPr/>
              <w:t>As of August 16, 2026.</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REVIEW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delivered strong progress in our business development in the first half of 2026, as we scaled the commercialization and deployment of our autonomous mobility technologies. Our Robotaxi fleet expanded to 1,975 vehicles as of June 30, 2026, and Robotaxi services revenues for the six months ended June 30, 2026 increased by 534.0% year-over-year, supported by a larger fleet, broader operating coverage, higher paid order volume and increasing user adoption. We expanded our operations across China’s tier-one cities and other major cities, including Hangzhou, and continued to expand our international footprint under the joint deployment model, working with global partners including Uber. The inclusion of our Class A ordinary shares in the Shanghai-Hong Kong Stock Connect and the Shenzhen-Hong Kong Stock Connect programs further broadened our shareholder base and enhanced our connectivity with mainland investors. Together, these achievements demonstrate our progress in commercialization, technology deployment, global expansion and capital markets recognition, laying a stronger foundation for sustained growth in the second half of 2026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Our Technology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Robotaxi represents an important real-world application of physical AI. Leveraging our proprietary software technology, full-stack vehicle-agnostic hardware and software integration capabilities and years of research and development, we continued to enhance autonomous driving performance and operational efficiency, expand the scale of our Robotaxi operations and improve user experience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PonyWorld 2.0 and AI-Driven Closed-Loop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Fully driverless Level 4 (“</w:t>
      </w:r>
      <w:r>
        <w:rPr>
          <w:rFonts w:ascii="Times New Roman;Times;Serif" w:hAnsi="Times New Roman;Times;Serif"/>
          <w:b/>
          <w:i w:val="false"/>
          <w:caps w:val="false"/>
          <w:smallCaps w:val="false"/>
          <w:color w:val="231F20"/>
          <w:sz w:val="20"/>
        </w:rPr>
        <w:t>L4</w:t>
      </w:r>
      <w:r>
        <w:rPr>
          <w:rFonts w:ascii="Times New Roman;Times;Serif" w:hAnsi="Times New Roman;Times;Serif"/>
          <w:b w:val="false"/>
          <w:i w:val="false"/>
          <w:caps w:val="false"/>
          <w:smallCaps w:val="false"/>
          <w:color w:val="231F20"/>
          <w:sz w:val="20"/>
        </w:rPr>
        <w:t xml:space="preserve">”) autonomous driving requires a high level of safety, reliability and real-time decision-making capability. We have long believed that the development of L4 autonomous driving requires capabilities beyond learning solely from human driving data. Accordingly, we incorporated reinforcement learning and world-model-based training into the development of our </w:t>
      </w:r>
      <w:r>
        <w:rPr>
          <w:rFonts w:ascii="Times New Roman;Times;Serif" w:hAnsi="Times New Roman;Times;Serif"/>
          <w:b w:val="false"/>
          <w:i/>
          <w:caps w:val="false"/>
          <w:smallCaps w:val="false"/>
          <w:color w:val="231F20"/>
          <w:sz w:val="20"/>
        </w:rPr>
        <w:t xml:space="preserve">Virtual Driver </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val="false"/>
          <w:i/>
          <w:caps w:val="false"/>
          <w:smallCaps w:val="false"/>
          <w:color w:val="231F20"/>
          <w:sz w:val="20"/>
        </w:rPr>
        <w:t xml:space="preserve">PonyWorld </w:t>
      </w:r>
      <w:r>
        <w:rPr>
          <w:rFonts w:ascii="Times New Roman;Times;Serif" w:hAnsi="Times New Roman;Times;Serif"/>
          <w:b w:val="false"/>
          <w:i w:val="false"/>
          <w:caps w:val="false"/>
          <w:smallCaps w:val="false"/>
          <w:color w:val="231F20"/>
          <w:sz w:val="20"/>
        </w:rPr>
        <w:t xml:space="preserve">is our proprietary world-model-based training, simulation and evaluation system for L4 autonomous driving. Rather than relying primarily on imitation learning from human driving data, </w:t>
      </w:r>
      <w:r>
        <w:rPr>
          <w:rFonts w:ascii="Times New Roman;Times;Serif" w:hAnsi="Times New Roman;Times;Serif"/>
          <w:b w:val="false"/>
          <w:i/>
          <w:caps w:val="false"/>
          <w:smallCaps w:val="false"/>
          <w:color w:val="231F20"/>
          <w:sz w:val="20"/>
        </w:rPr>
        <w:t xml:space="preserve">PonyWorld </w:t>
      </w:r>
      <w:r>
        <w:rPr>
          <w:rFonts w:ascii="Times New Roman;Times;Serif" w:hAnsi="Times New Roman;Times;Serif"/>
          <w:b w:val="false"/>
          <w:i w:val="false"/>
          <w:caps w:val="false"/>
          <w:smallCaps w:val="false"/>
          <w:color w:val="231F20"/>
          <w:sz w:val="20"/>
        </w:rPr>
        <w:t xml:space="preserve">enables our </w:t>
      </w:r>
      <w:r>
        <w:rPr>
          <w:rFonts w:ascii="Times New Roman;Times;Serif" w:hAnsi="Times New Roman;Times;Serif"/>
          <w:b w:val="false"/>
          <w:i/>
          <w:caps w:val="false"/>
          <w:smallCaps w:val="false"/>
          <w:color w:val="231F20"/>
          <w:sz w:val="20"/>
        </w:rPr>
        <w:t xml:space="preserve">Virtual Driver </w:t>
      </w:r>
      <w:r>
        <w:rPr>
          <w:rFonts w:ascii="Times New Roman;Times;Serif" w:hAnsi="Times New Roman;Times;Serif"/>
          <w:b w:val="false"/>
          <w:i w:val="false"/>
          <w:caps w:val="false"/>
          <w:smallCaps w:val="false"/>
          <w:color w:val="231F20"/>
          <w:sz w:val="20"/>
        </w:rPr>
        <w:t xml:space="preserve">to learn from and be evaluated against large-scale AI-generated scenarios. It integrates three principal capabilities: the generation of realistic driving scenarios and sensor data, high-fidelity simulation and a comprehensive set of evaluation metrics. Together, these capabilities support the training and validation of our vehicle-agnostic </w:t>
      </w:r>
      <w:r>
        <w:rPr>
          <w:rFonts w:ascii="Times New Roman;Times;Serif" w:hAnsi="Times New Roman;Times;Serif"/>
          <w:b w:val="false"/>
          <w:i/>
          <w:caps w:val="false"/>
          <w:smallCaps w:val="false"/>
          <w:color w:val="231F20"/>
          <w:sz w:val="20"/>
        </w:rPr>
        <w:t xml:space="preserve">Virtual Driver </w:t>
      </w:r>
      <w:r>
        <w:rPr>
          <w:rFonts w:ascii="Times New Roman;Times;Serif" w:hAnsi="Times New Roman;Times;Serif"/>
          <w:b w:val="false"/>
          <w:i w:val="false"/>
          <w:caps w:val="false"/>
          <w:smallCaps w:val="false"/>
          <w:color w:val="231F20"/>
          <w:sz w:val="20"/>
        </w:rPr>
        <w:t>across a broad range of operating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In April 2026, we launched </w:t>
      </w:r>
      <w:r>
        <w:rPr>
          <w:rFonts w:ascii="Times New Roman;Times;Serif" w:hAnsi="Times New Roman;Times;Serif"/>
          <w:b w:val="false"/>
          <w:i/>
          <w:caps w:val="false"/>
          <w:smallCaps w:val="false"/>
          <w:color w:val="231F20"/>
          <w:sz w:val="20"/>
        </w:rPr>
        <w:t xml:space="preserve">PonyWorld </w:t>
      </w:r>
      <w:r>
        <w:rPr>
          <w:rFonts w:ascii="Times New Roman;Times;Serif" w:hAnsi="Times New Roman;Times;Serif"/>
          <w:b w:val="false"/>
          <w:i w:val="false"/>
          <w:caps w:val="false"/>
          <w:smallCaps w:val="false"/>
          <w:color w:val="231F20"/>
          <w:sz w:val="20"/>
        </w:rPr>
        <w:t xml:space="preserve">2.0, an upgrade to our proprietary world model and the core training system supporting our autonomous driving stack. High-value data generated from our large-scale fully driverless operations can be analyzed by AI to identify behavioral patterns and potential issues. </w:t>
      </w:r>
      <w:r>
        <w:rPr>
          <w:rFonts w:ascii="Times New Roman;Times;Serif" w:hAnsi="Times New Roman;Times;Serif"/>
          <w:b w:val="false"/>
          <w:i/>
          <w:caps w:val="false"/>
          <w:smallCaps w:val="false"/>
          <w:color w:val="231F20"/>
          <w:sz w:val="20"/>
        </w:rPr>
        <w:t xml:space="preserve">PonyWorld </w:t>
      </w:r>
      <w:r>
        <w:rPr>
          <w:rFonts w:ascii="Times New Roman;Times;Serif" w:hAnsi="Times New Roman;Times;Serif"/>
          <w:b w:val="false"/>
          <w:i w:val="false"/>
          <w:caps w:val="false"/>
          <w:smallCaps w:val="false"/>
          <w:color w:val="231F20"/>
          <w:sz w:val="20"/>
        </w:rPr>
        <w:t>2.0 streamlines the development process from issue identification and localization through software optimization, simulation validation and deployment tracking. This automated closed-loop process enables us to identify issues that may otherwise be difficult to detect manually within large volumes of operational data and improves R&amp;D efficiency and accelerates technology development and iteration. Our simulation system currently supports more than 10 billion kilometers of simulated driving each week, of which more than 99% capture vehicle-agent interactions, while less than 1% are for static environments such as sensor rendering. This enables us to expand into additional cities, countries and operating environments without a proportionate increase in engineering resources.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Full-Stack Fail-Operational Architecture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Robotaxis incorporate a full-stack, multilayer redundant architecture across both software and hardware. If certain components experience a failure during operation, the vehicle is designed to maintain a safe operating state, identify an appropriate location and safely pull over where necessary. Our Robotaxis are also designed to continue operating when network or Global Positioning System (“</w:t>
      </w:r>
      <w:r>
        <w:rPr>
          <w:rFonts w:ascii="Times New Roman;Times;Serif" w:hAnsi="Times New Roman;Times;Serif"/>
          <w:b/>
          <w:i w:val="false"/>
          <w:caps w:val="false"/>
          <w:smallCaps w:val="false"/>
          <w:color w:val="231F20"/>
          <w:sz w:val="20"/>
        </w:rPr>
        <w:t>GPS</w:t>
      </w:r>
      <w:r>
        <w:rPr>
          <w:rFonts w:ascii="Times New Roman;Times;Serif" w:hAnsi="Times New Roman;Times;Serif"/>
          <w:b w:val="false"/>
          <w:i w:val="false"/>
          <w:caps w:val="false"/>
          <w:smallCaps w:val="false"/>
          <w:color w:val="231F20"/>
          <w:sz w:val="20"/>
        </w:rPr>
        <w:t>”) signals are temporarily unavailable and to respond to changes in road layouts or lane markings through real-time environmental perception. At the fleet level, our prevention, detection and response mechanisms, together with remote assistance capabilities and dedicated ground-support teams, support safe and reliable fully driverless Robotaxi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Scaled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continued expansion of our Robotaxi fleet provides important real-world validation of the scalability and generalization capabilities of our autonomous driving technology. Our global Robotaxi fleet expanded to 1,975 vehicles as of June 30, 2026, and we continue to target a fleet of more than 3,500 Robotaxis by the end of 2026. The growth of our fleet demonstrates our ability to integrate the </w:t>
      </w:r>
      <w:r>
        <w:rPr>
          <w:rFonts w:ascii="Times New Roman;Times;Serif" w:hAnsi="Times New Roman;Times;Serif"/>
          <w:b w:val="false"/>
          <w:i/>
          <w:caps w:val="false"/>
          <w:smallCaps w:val="false"/>
          <w:color w:val="231F20"/>
          <w:sz w:val="20"/>
        </w:rPr>
        <w:t xml:space="preserve">Virtual Driver </w:t>
      </w:r>
      <w:r>
        <w:rPr>
          <w:rFonts w:ascii="Times New Roman;Times;Serif" w:hAnsi="Times New Roman;Times;Serif"/>
          <w:b w:val="false"/>
          <w:i w:val="false"/>
          <w:caps w:val="false"/>
          <w:smallCaps w:val="false"/>
          <w:color w:val="231F20"/>
          <w:sz w:val="20"/>
        </w:rPr>
        <w:t>with multiple vehicle platforms and deploy our autonomous driving system across a growing fleet. It also provides additional operational data that supports further technology development and iteration through our closed-loop development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continued to expand our operational design domains (“</w:t>
      </w:r>
      <w:r>
        <w:rPr>
          <w:rFonts w:ascii="Times New Roman;Times;Serif" w:hAnsi="Times New Roman;Times;Serif"/>
          <w:b/>
          <w:i w:val="false"/>
          <w:caps w:val="false"/>
          <w:smallCaps w:val="false"/>
          <w:color w:val="231F20"/>
          <w:sz w:val="20"/>
        </w:rPr>
        <w:t>ODDs</w:t>
      </w:r>
      <w:r>
        <w:rPr>
          <w:rFonts w:ascii="Times New Roman;Times;Serif" w:hAnsi="Times New Roman;Times;Serif"/>
          <w:b w:val="false"/>
          <w:i w:val="false"/>
          <w:caps w:val="false"/>
          <w:smallCaps w:val="false"/>
          <w:color w:val="231F20"/>
          <w:sz w:val="20"/>
        </w:rPr>
        <w:t>”), reflecting the adaptability of our autonomous driving system across increasingly diverse operating environments. Our fully driverless fleet is capable of operating around the clock, including during peak commuting periods and under certain adverse weather conditions. Our deployment in Zagreb, Croatia, provides further validation of the adaptability of our technology. Our Robotaxis operate in a complex urban environment combining historic city-center roads, newer developments, mixed traffic and diverse road conditions. The deployment demonstrates our ability to transfer our autonomous driving capabilities to operating environments with road structures, traffic behavior and weather conditions that differ from those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Operational Efficiency and User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continued to improve the cost efficiency of our Robotaxi operations through advances in vehicle design, autonomous driving technology and fleet management. The optimized design of our seventh-generation (“</w:t>
      </w:r>
      <w:r>
        <w:rPr>
          <w:rFonts w:ascii="Times New Roman;Times;Serif" w:hAnsi="Times New Roman;Times;Serif"/>
          <w:b/>
          <w:i w:val="false"/>
          <w:caps w:val="false"/>
          <w:smallCaps w:val="false"/>
          <w:color w:val="231F20"/>
          <w:sz w:val="20"/>
        </w:rPr>
        <w:t>Gen-7</w:t>
      </w:r>
      <w:r>
        <w:rPr>
          <w:rFonts w:ascii="Times New Roman;Times;Serif" w:hAnsi="Times New Roman;Times;Serif"/>
          <w:b w:val="false"/>
          <w:i w:val="false"/>
          <w:caps w:val="false"/>
          <w:smallCaps w:val="false"/>
          <w:color w:val="231F20"/>
          <w:sz w:val="20"/>
        </w:rPr>
        <w:t>”) Robotaxi lowers bill of materials (“</w:t>
      </w:r>
      <w:r>
        <w:rPr>
          <w:rFonts w:ascii="Times New Roman;Times;Serif" w:hAnsi="Times New Roman;Times;Serif"/>
          <w:b/>
          <w:i w:val="false"/>
          <w:caps w:val="false"/>
          <w:smallCaps w:val="false"/>
          <w:color w:val="231F20"/>
          <w:sz w:val="20"/>
        </w:rPr>
        <w:t>BOM</w:t>
      </w:r>
      <w:r>
        <w:rPr>
          <w:rFonts w:ascii="Times New Roman;Times;Serif" w:hAnsi="Times New Roman;Times;Serif"/>
          <w:b w:val="false"/>
          <w:i w:val="false"/>
          <w:caps w:val="false"/>
          <w:smallCaps w:val="false"/>
          <w:color w:val="231F20"/>
          <w:sz w:val="20"/>
        </w:rPr>
        <w:t>”) costs through the adoption of more cost-effective components, increased standardization and deeper integration between the autonomous driving system and the underlying vehicle platform. Our automotive-grade hardware architecture also supports improved vehicle reliability.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Beyond advancing autonomous driving performance, technology-driven improvements in fleet operations also enhance our operating efficiency. Continued optimization of vehicle dispatching, charging, remote assistance, ground operations and maintenance workflows has improved the vehicle-to-staff ratio for our ground support and remote assistance teams, enabling us to support a larger fleet more efficiently. Our Robotaxis can also share parking facilities with human-driven vehicles and autonomously navigate to available charging spaces, reducing the need for human intervention in charging operations. Our highly generalized autonomous driving capabilities also support standardized and replicable operational workflows, facilitating the expansion of our joint deployment model and allowing us to scale with greater capital efficiency.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technology enables our Robotaxis to operate across high-demand and operationally complex mobility scenarios. In Shenzhen, our 24/7 fully driverless Robotaxi service covers high-traffic urban areas, including the Nanshan High-Tech Area. During peak commuting periods, our Virtual Driver navigates both major roads and narrower local streets, providing convenient pick-up and drop-off coverage for daily transportation needs. In Beijing, our Robotaxi fleet continued to operate during heavy snowfall in early March despite reduced visibility and challenging road conditions. Our Gen-7 Robotaxi also provides smoother acceleration, braking and cornering, helping to reduce motion discomfort and improve the overall passenger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Robotaxi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provide Robotaxi services that transport passengers autonomously through vehicles integrated with our Virtual Driver. We were the first company to commence fully driverless, public-facing fare-charging Robotaxi operations in designated areas of all four tier-one cities in China. Users can access our Robotaxi services through a variety of platforms, including our proprietary PonyPilot mobile application, WeChat Mini Program, Amap, WeChat Mobility Services Platform, Alipay Mini Program, Sunlight Mobility and OnTime Mobility.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Accelerating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For the six months ended June 30, 2026, our Robotaxi business continued to scale across revenue, fleet size, paid orders and user base. As of June 30, 2026, our Robotaxi fleet had expanded to 1,975 vehicles. Robotaxi services revenues increased by 534.0% year-over-year to USD20.6 million. Notably, fare-charging revenues grew by 456.5% year-over-year in the first quarter of 2026, with growth further accelerating to 849.3% year-over-year in the second quarter of 2026. As of August 16, 2026, the number of </w:t>
      </w:r>
      <w:r>
        <w:rPr>
          <w:rFonts w:ascii="Times New Roman;Times;Serif" w:hAnsi="Times New Roman;Times;Serif"/>
          <w:b w:val="false"/>
          <w:i/>
          <w:caps w:val="false"/>
          <w:smallCaps w:val="false"/>
          <w:color w:val="231F20"/>
          <w:sz w:val="20"/>
        </w:rPr>
        <w:t xml:space="preserve">PonyPilot </w:t>
      </w:r>
      <w:r>
        <w:rPr>
          <w:rFonts w:ascii="Times New Roman;Times;Serif" w:hAnsi="Times New Roman;Times;Serif"/>
          <w:b w:val="false"/>
          <w:i w:val="false"/>
          <w:caps w:val="false"/>
          <w:smallCaps w:val="false"/>
          <w:color w:val="231F20"/>
          <w:sz w:val="20"/>
        </w:rPr>
        <w:t>registered users in China exceeded 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increase in scale was accompanied by continued improvements in operating efficiency and unit economics. Following the achievement of city-wide unit economics breakeven in Guangzhou in November 2025, our Shenzhen operations reached the same milestone in February 2026. During the Reporting Period, we continued to optimize vehicle dispatching, charging, fleet utilization, remote assistance, ground operations and user experience. Paid order volume continued to grow, with average weekly paid orders in May 2026 increasing by more than 100% compared with January 2026</w:t>
      </w:r>
      <w:r>
        <w:rPr>
          <w:rFonts w:ascii="Times New Roman;Times;Serif" w:hAnsi="Times New Roman;Times;Serif"/>
          <w:b w:val="false"/>
          <w:i w:val="false"/>
          <w:caps w:val="false"/>
          <w:smallCaps w:val="false"/>
          <w:color w:val="231F20"/>
          <w:position w:val="7"/>
          <w:sz w:val="16"/>
          <w:sz w:val="20"/>
        </w:rPr>
        <w:t>(3)</w:t>
      </w:r>
      <w:r>
        <w:rPr>
          <w:rFonts w:ascii="Times New Roman;Times;Serif" w:hAnsi="Times New Roman;Times;Serif"/>
          <w:b w:val="false"/>
          <w:i w:val="false"/>
          <w:caps w:val="false"/>
          <w:smallCaps w:val="false"/>
          <w:color w:val="231F20"/>
          <w:sz w:val="20"/>
        </w:rPr>
        <w:t>. Our Shenzhen operations also delivered strong operating performance during the Dragon Boat Festival holiday, supported by increased travel demand and continued improvements in fleet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283"/>
              <w:jc w:val="both"/>
              <w:rPr/>
            </w:pPr>
            <w:r>
              <w:rPr/>
              <w:t>Average weekly paid orders for May 2026 represent the average number of paid orders per week calculated for the four-week period from April 27, 2026 through May 24, 2026. Average weekly paid orders for January 2026 represent the average number of paid orders per week calculated for the five-week period from December 29, 2025 through February 1, 2026.</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Our Dual-Engine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dual-engine strategy is focused on advancing the commercialization and scaling of our Robotaxi operations in both China and overseas markets. In China, we continued to increase fleet size and operating density in Beijing, Shanghai, Guangzhou and Shenzhen, while broadening our service coverage and expanding into a broader range of use cases. In Guangzhou, we extended our Robotaxi services into the city center, with operations spanning Haizhu District, Tianhe District, Huangpu District and Panyu District. Our operational area expanded by over 300 square kilometers as of August 16, 2026 from the beginning of this year, covering a population of over 7 million. In Shenzhen, we extended our Robotaxi service network to Shenzhen Bao’an International Airport, Shenzhen Bay Port and Shekou Cruise Port. The expansion enhanced our coverage of major transportation hubs and high-demand use cases, including daily commuting, cross-border travel and airport transfers. We also expanded our commercial footprint into Hangzhou and Changsha in March 2026, further extending our operating capabilities beyond China’s four tier-one 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Overseas, we continued to advance our Robotaxi operations across Europe, the Middle East and Asia, building on our operating track record in China’s tier-one cities and our deployment experience in Croatia. We continued to expand our international footprint under the joint deployment model through partnerships with global mobility platforms and local operators, including Uber, Bolt, Verne and ComfortDelGro. We have secured multiple joint deployment model partners across overseas markets, including Uber for the contracted deployment of more than 2,000 Robotaxi vehicles in Europe, bringing the total number of vehicles under agreements in negotiation across international markets to over 4,000 Robotaxi vehicles. Alongside the expansion of our international deployment pipeline, we continued to make progress in key overseas markets. In Luxembourg, we continued to advance our Robotaxi deployment in collaboration with Bolt and Stellantis. In Singapore, our Robotaxi service became available to the general public through ComfortDelGro’s Zig app. We also continued to advance our deployment and commercialization activities in Croatia, Doha and Dubai. We continue to target the expansion of our Robotaxi operations to more than 20 cities worldwide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Scaling through the Joint Deployment Model and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joint deployment model continues to support the expansion of our Robotaxi fleet in a capital-efficient manner. Under this model, our partners may contribute vehicle funding, local fleet operations, ground maintenance, market access or user traffic, while we provide autonomous driving technology, system capabilities and operating support. The parties share the economic benefits generated from fleet operations based on the terms of the relevant arrangements. During the Reporting Period, we continued to expand this model across China and overseas markets. Revenue contribution from the joint deployment model in the second quarter of 2026 increased compared with the first quarter of 2026, reflecting continued progress in the commercialization of the model.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also continued to strengthen our broader ecosystem across the Robotaxi value chain. Gen-7 Robotaxis, which are based on vehicle platforms from the Beijing Automotive Industry Corporation (“</w:t>
      </w:r>
      <w:r>
        <w:rPr>
          <w:rFonts w:ascii="Times New Roman;Times;Serif" w:hAnsi="Times New Roman;Times;Serif"/>
          <w:b/>
          <w:i w:val="false"/>
          <w:caps w:val="false"/>
          <w:smallCaps w:val="false"/>
          <w:color w:val="231F20"/>
          <w:sz w:val="20"/>
        </w:rPr>
        <w:t>BAIC</w:t>
      </w:r>
      <w:r>
        <w:rPr>
          <w:rFonts w:ascii="Times New Roman;Times;Serif" w:hAnsi="Times New Roman;Times;Serif"/>
          <w:b w:val="false"/>
          <w:i w:val="false"/>
          <w:caps w:val="false"/>
          <w:smallCaps w:val="false"/>
          <w:color w:val="231F20"/>
          <w:sz w:val="20"/>
        </w:rPr>
        <w:t>”), Guangzhou Automotive Corporation (“</w:t>
      </w:r>
      <w:r>
        <w:rPr>
          <w:rFonts w:ascii="Times New Roman;Times;Serif" w:hAnsi="Times New Roman;Times;Serif"/>
          <w:b/>
          <w:i w:val="false"/>
          <w:caps w:val="false"/>
          <w:smallCaps w:val="false"/>
          <w:color w:val="231F20"/>
          <w:sz w:val="20"/>
        </w:rPr>
        <w:t>GAC</w:t>
      </w:r>
      <w:r>
        <w:rPr>
          <w:rFonts w:ascii="Times New Roman;Times;Serif" w:hAnsi="Times New Roman;Times;Serif"/>
          <w:b w:val="false"/>
          <w:i w:val="false"/>
          <w:caps w:val="false"/>
          <w:smallCaps w:val="false"/>
          <w:color w:val="231F20"/>
          <w:sz w:val="20"/>
        </w:rPr>
        <w:t>”) and Toyota, have entered mass production and deployment, including the planned deployment of 1,000 Toyota bZ4X-based vehicles, further supporting the expansion of our fleet. In parallel, our integrations and collaborations with the WeChat Mobility Services Platform, Amap, Alipay, Bolt and ComfortDelGro Zig broaden user access to our services. Supported by these initiatives, we continue to target a Robotaxi fleet of more than 3,500 vehicles by the end of 2026, subject to market conditions, regulatory approvals and the execution progress of our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Robotruck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Robotruck business provides autonomous freight transportation solutions for high-value and high-utilization logistics scenarios. Leveraging technology shared across our Robotaxi and Robotruck platforms, we apply our L4 autonomous driving capabilities to heavy-duty trucks and light commercial vehicles in use cases including long-haul transportation, port logistics and urban delivery. We have obtained autonomous driving public-road testing permits in Beijing and Guangzhou and have conducted testing and operations across commercially relevant logistics corridors in the Beijing-Tianjin-Hebei region, the Yangtze River Delta and the Pearl River Delta.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Robotruck business continued to advance commercialization during the first half of 2026, with Robotruck services revenues for the six months ended June 30, 2026 increasing by 36.0% year-over-year to USD23.5 million. Our fourth-generation (“</w:t>
      </w:r>
      <w:r>
        <w:rPr>
          <w:rFonts w:ascii="Times New Roman;Times;Serif" w:hAnsi="Times New Roman;Times;Serif"/>
          <w:b/>
          <w:i w:val="false"/>
          <w:caps w:val="false"/>
          <w:smallCaps w:val="false"/>
          <w:color w:val="231F20"/>
          <w:sz w:val="20"/>
        </w:rPr>
        <w:t>Gen-4</w:t>
      </w:r>
      <w:r>
        <w:rPr>
          <w:rFonts w:ascii="Times New Roman;Times;Serif" w:hAnsi="Times New Roman;Times;Serif"/>
          <w:b w:val="false"/>
          <w:i w:val="false"/>
          <w:caps w:val="false"/>
          <w:smallCaps w:val="false"/>
          <w:color w:val="231F20"/>
          <w:sz w:val="20"/>
        </w:rPr>
        <w:t>”) Robotruck entered mass production as scheduled, representing an important step toward the broader commercialization of our L4 freight transportation solutions. We also commenced the commercial deployment of Gen-4 driverless Robotrucks at Mawan Port in collaboration with China Merchants Port, where our Robotrucks operate in mixed-fleet port logistics operations alongside human-driven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addition, we launched an L4 autonomous light truck platform that leverages the automotive-grade, fully redundant L4 architecture developed for our Robotaxi platform. By integrating autonomous driving technology, vehicles and logistics use cases, we aim to support lower logistics costs and the intelligent and digital transformation of the logistics industry. Together, our Gen-4 Robotruck and light truck platforms broaden the range of logistics scenarios addressed by our autonomous driving technology and support the continued commercialization and scaled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Intelligent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Intelligent Solutions business, formerly referred to as Licensing and Applications, leverages our autonomous driving technology, vehicle engineering capabilities and system integration experience to provide intelligent driving products and services to customers across the autonomous driving value chain. This business primarily includes sales of high-performance computing hardware, such as automotive-grade autonomous driving domain controllers, as well as software licensing, vehicle integration services and other value-added technology services. Through these offerings, we help our customers integrate autonomous driving capabilities into a wide range of applications, including low-speed delivery, robosweepers, logistics, and humanoid robotics.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Intelligent Solutions business also recorded solid progress during the six months ended June 30, 2026. Deliveries of autonomous driving domain controllers more than doubled compared to the same period in 2025. The continued expansion of application scenarios demonstrates the broader generalization capability of our autonomous driving technology beyond Robotaxi and Robotruck.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Recent Developments After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August 2026, the Company expanded its strategic partnership with Uber, with plans to collaborate on the deployment of more than 2,000 Robotaxi vehicles in five selected cities in Europe, including the earlier announced Zagreb.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Looking ahead to the remainder of 2026, we will continue to prioritize scaled commercialization, disciplined cost optimization and expansion across both domestic and overseas markets. Following the upward revision to our full-year targets announced in May 2026, we are now targeting a Robotaxi fleet of over 3,500 vehicles by the end of 2026 and a global operating footprint covering more than 20 cities. We are confident in exceeding our full-year Robotaxi services revenues growth target of more than 3.5 times the 2025 level, with further progress in overseas commercialization providing additional upside. We will continue to execute our dual-engine strategy, focusing on both China and overseas markets, while leveraging the joint deployment model, to improve capital efficiency, accelerate fleet deployment and broaden revenue streams. For Robotruck services, we will focus on high-value and high-utilization freight scenarios. The mass production of Gen-4 Robotrucks and the launch of L4 autonomous light trucks are expected to support the broader commercialization and scaled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parallel, we will continue to invest in research and development, improve the adaptability of our technology across different regions and platforms, and optimize our cost structure and business model. We will maintain a disciplined approach to capital expenditures, prioritizing capital efficiency and returns. We will also deepen our collaboration with OEMs and local operators across the value chain. Collectively, these initiatives will support the continued commercialization, strengthen our technology and operating capabilities, and enhance our long-term growth potential, subject to market conditions, regulatory developments and the execution of our business plan.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MANAGEMENT DISCUSSION AND ANALYSIS</w:t>
      </w:r>
    </w:p>
    <w:p>
      <w:pPr>
        <w:pStyle w:val="TextBody"/>
        <w:bidi w:val="0"/>
        <w:spacing w:before="0" w:after="0"/>
        <w:ind w:left="0" w:right="0" w:hanging="0"/>
        <w:jc w:val="left"/>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3650"/>
        <w:gridCol w:w="60"/>
        <w:gridCol w:w="73"/>
        <w:gridCol w:w="936"/>
        <w:gridCol w:w="80"/>
        <w:gridCol w:w="60"/>
        <w:gridCol w:w="73"/>
        <w:gridCol w:w="936"/>
        <w:gridCol w:w="9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Six Months </w:t>
              <w:br/>
              <w:t>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58" w:type="dxa"/>
            <w:gridSpan w:val="6"/>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 in thousands)</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(Unaudited)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(Unaudited)</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revenues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35,434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70,470</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 of revenues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(29,655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(58,559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65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Gross profit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5,779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11,911</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(26,574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(31,876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65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operating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(123,090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(135,990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65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from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(117,311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(124,079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65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Investment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28,687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22,200</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fair value of trading securities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(6,234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25,663</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income (expenses), net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4,219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(22,644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65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before income tax</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(90,639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(98,860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tax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65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(90,640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(98,861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total revenues were USD70.5 million during the six months ended June 30, 2026, representing an increase of 98.9% from USD35.4 million for the six months ended June 30, 2025. The increase was mainly driven by strong growth in Robotaxi services and Intelligent solutions revenues. The following table sets forth a breakdown of our revenues by business line in absolute amounts and as percentages of our total revenues during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4838" w:type="dxa"/>
        <w:jc w:val="left"/>
        <w:tblInd w:w="0" w:type="dxa"/>
        <w:tblLayout w:type="fixed"/>
        <w:tblCellMar>
          <w:top w:w="0" w:type="dxa"/>
          <w:left w:w="0" w:type="dxa"/>
          <w:bottom w:w="0" w:type="dxa"/>
          <w:right w:w="0" w:type="dxa"/>
        </w:tblCellMar>
      </w:tblPr>
      <w:tblGrid>
        <w:gridCol w:w="1685"/>
        <w:gridCol w:w="60"/>
        <w:gridCol w:w="60"/>
        <w:gridCol w:w="649"/>
        <w:gridCol w:w="66"/>
        <w:gridCol w:w="66"/>
        <w:gridCol w:w="66"/>
        <w:gridCol w:w="533"/>
        <w:gridCol w:w="66"/>
        <w:gridCol w:w="66"/>
        <w:gridCol w:w="66"/>
        <w:gridCol w:w="649"/>
        <w:gridCol w:w="66"/>
        <w:gridCol w:w="66"/>
        <w:gridCol w:w="66"/>
        <w:gridCol w:w="533"/>
        <w:gridCol w:w="75"/>
      </w:tblGrid>
      <w:tr>
        <w:trPr/>
        <w:tc>
          <w:tcPr>
            <w:tcW w:w="16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958" w:type="dxa"/>
            <w:gridSpan w:val="13"/>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80"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80"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3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USD</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3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6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958" w:type="dxa"/>
            <w:gridSpan w:val="13"/>
            <w:tcBorders/>
            <w:shd w:fill="FFFFFF" w:val="clear"/>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 thousands, except percentages)</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Revenues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Robotaxi services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3,256</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9.2</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20,643</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29.3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Robotruck services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17,300</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48.8</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23,524</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33.4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Intelligent solutions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14,878</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42.0</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26,303</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35,434</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100.0</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70,470</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100.0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Robotaxi services revenues </w:t>
      </w:r>
      <w:r>
        <w:rPr>
          <w:rFonts w:ascii="Times New Roman;Times;Serif" w:hAnsi="Times New Roman;Times;Serif"/>
          <w:b w:val="false"/>
          <w:i w:val="false"/>
          <w:caps w:val="false"/>
          <w:smallCaps w:val="false"/>
          <w:color w:val="231F20"/>
          <w:sz w:val="20"/>
        </w:rPr>
        <w:t>were USD20.6 million during the six months ended June 30, 2026, representing an increase of 534.0% from USD3.3 million for the six months ended June 30, 2025. Specifically, fare-charging revenues grew by 456.5% year-over-year in the first quarter of 2026, with growth further accelerating to 849.3% year-over-year in the second quarter of 2026. The increases were primarily driven by the launch of the Gen-7 fleet and the expansion of our commercial Robotaxi operations. In addition, increased vehicle deployments under our joint deployment model also contributed to revenue growth. Revenue contribution from the joint deployment model in the second quarter of 2026 increased significantly compared with the first quarter of 2026, reflecting continued progress in the commercialization of the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Robotruck services revenues </w:t>
      </w:r>
      <w:r>
        <w:rPr>
          <w:rFonts w:ascii="Times New Roman;Times;Serif" w:hAnsi="Times New Roman;Times;Serif"/>
          <w:b w:val="false"/>
          <w:i w:val="false"/>
          <w:caps w:val="false"/>
          <w:smallCaps w:val="false"/>
          <w:color w:val="231F20"/>
          <w:sz w:val="20"/>
        </w:rPr>
        <w:t>were USD23.5 million during the six months ended June 30, 2026, representing an increase of 36.0% from USD17.3 million for the six months ended June 30, 2025. The increase was primarily attributable to growth in freight transportation services, supported by our collaboration with Sinotrans.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Intelligent solutions revenues </w:t>
      </w:r>
      <w:r>
        <w:rPr>
          <w:rFonts w:ascii="Times New Roman;Times;Serif" w:hAnsi="Times New Roman;Times;Serif"/>
          <w:b w:val="false"/>
          <w:i w:val="false"/>
          <w:caps w:val="false"/>
          <w:smallCaps w:val="false"/>
          <w:color w:val="231F20"/>
          <w:sz w:val="20"/>
        </w:rPr>
        <w:t>were USD26.3 million during the six months ended June 30, 2026, representing an increase of 76.8% from USD14.9 million for the six months ended June 30, 2025. The increase was primarily attributable to higher autonomous domain controller (“</w:t>
      </w:r>
      <w:r>
        <w:rPr>
          <w:rFonts w:ascii="Times New Roman;Times;Serif" w:hAnsi="Times New Roman;Times;Serif"/>
          <w:b/>
          <w:i w:val="false"/>
          <w:caps w:val="false"/>
          <w:smallCaps w:val="false"/>
          <w:color w:val="231F20"/>
          <w:sz w:val="20"/>
        </w:rPr>
        <w:t>ADC</w:t>
      </w:r>
      <w:r>
        <w:rPr>
          <w:rFonts w:ascii="Times New Roman;Times;Serif" w:hAnsi="Times New Roman;Times;Serif"/>
          <w:b w:val="false"/>
          <w:i w:val="false"/>
          <w:caps w:val="false"/>
          <w:smallCaps w:val="false"/>
          <w:color w:val="231F20"/>
          <w:sz w:val="20"/>
        </w:rPr>
        <w:t>”) shipment volumes across the low-speed delivery, robosweeper, logistics, and humanoid robotics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Cost of revenues </w:t>
      </w:r>
      <w:r>
        <w:rPr>
          <w:rFonts w:ascii="Times New Roman;Times;Serif" w:hAnsi="Times New Roman;Times;Serif"/>
          <w:b w:val="false"/>
          <w:i w:val="false"/>
          <w:caps w:val="false"/>
          <w:smallCaps w:val="false"/>
          <w:color w:val="231F20"/>
          <w:sz w:val="20"/>
        </w:rPr>
        <w:t>was USD58.6 million during the six months ended June 30, 2026, representing an increase of 97.5% from USD29.7 million for the six months ended June 30, 2025, broadly in line with revenue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Gross profit </w:t>
      </w:r>
      <w:r>
        <w:rPr>
          <w:rFonts w:ascii="Times New Roman;Times;Serif" w:hAnsi="Times New Roman;Times;Serif"/>
          <w:b w:val="false"/>
          <w:i w:val="false"/>
          <w:caps w:val="false"/>
          <w:smallCaps w:val="false"/>
          <w:color w:val="231F20"/>
          <w:sz w:val="20"/>
        </w:rPr>
        <w:t>was USD11.9 million during the six months ended June 30, 2026, representing an increase of 106.1% from USD5.8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Gross margin </w:t>
      </w:r>
      <w:r>
        <w:rPr>
          <w:rFonts w:ascii="Times New Roman;Times;Serif" w:hAnsi="Times New Roman;Times;Serif"/>
          <w:b w:val="false"/>
          <w:i w:val="false"/>
          <w:caps w:val="false"/>
          <w:smallCaps w:val="false"/>
          <w:color w:val="231F20"/>
          <w:sz w:val="20"/>
        </w:rPr>
        <w:t>expanded to 16.9% for the six months ended June 30, 2026, from 16.3% for the six months ended June 30, 2025. The improvement was mainly driven by an improved revenue mix, with a higher contribution from Robotaxi services, including revenues generated under the joint deployment model, which generated relatively higher margins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Operating expenses </w:t>
      </w:r>
      <w:r>
        <w:rPr>
          <w:rFonts w:ascii="Times New Roman;Times;Serif" w:hAnsi="Times New Roman;Times;Serif"/>
          <w:b w:val="false"/>
          <w:i w:val="false"/>
          <w:caps w:val="false"/>
          <w:smallCaps w:val="false"/>
          <w:color w:val="231F20"/>
          <w:sz w:val="20"/>
        </w:rPr>
        <w:t>were USD136.0 million during the six months ended June 30, 2026, representing an increase of 10.5% from USD123.1 million for the six months ended June 30, 2025. Non-GAAP</w:t>
      </w:r>
      <w:r>
        <w:rPr>
          <w:rFonts w:ascii="Times New Roman;Times;Serif" w:hAnsi="Times New Roman;Times;Serif"/>
          <w:b w:val="false"/>
          <w:i w:val="false"/>
          <w:caps w:val="false"/>
          <w:smallCaps w:val="false"/>
          <w:color w:val="231F20"/>
          <w:position w:val="7"/>
          <w:sz w:val="16"/>
          <w:sz w:val="20"/>
        </w:rPr>
        <w:t>(2)</w:t>
      </w:r>
      <w:r>
        <w:rPr>
          <w:rFonts w:ascii="Times New Roman;Times;Serif" w:hAnsi="Times New Roman;Times;Serif"/>
          <w:b w:val="false"/>
          <w:i w:val="false"/>
          <w:caps w:val="false"/>
          <w:smallCaps w:val="false"/>
          <w:color w:val="231F20"/>
          <w:sz w:val="20"/>
        </w:rPr>
        <w:t> operating expenses were USD122.4 million during the six months ended June 30, 2026, representing an increase of 14.5% from USD106.9 million for the six months ended June 30, 2025. The increase was primarily driven by ongoing business expansion and our efforts to enhance R&amp;D capabilities, reflecting our continued investment to support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2.</w:t>
            </w:r>
          </w:p>
        </w:tc>
        <w:tc>
          <w:tcPr>
            <w:tcW w:w="10042" w:type="dxa"/>
            <w:tcBorders/>
            <w:vAlign w:val="center"/>
          </w:tcPr>
          <w:p>
            <w:pPr>
              <w:pStyle w:val="TableContents"/>
              <w:bidi w:val="0"/>
              <w:spacing w:before="0" w:after="283"/>
              <w:jc w:val="both"/>
              <w:rPr/>
            </w:pPr>
            <w:r>
              <w:rPr/>
              <w:t>Non-GAAP financial measures exclude share-based compensation expenses, changes in fair value of trading securities and impairment loss on prepayment for long-term investments under “Other Income (Expenses), Net”. The exclusion of the impairment loss on prepayment for long-term investments is a new adjustment introduced in the second quarter of 2026. No comparable loss was recognized in the prior periods presented, and prior period non-GAAP measures are therefore unaffected by this change. Such adjustment has no impact on income tax. For further details, please see the “Unaudited Reconciliation of U.S. GAAP and Non-GAAP Results” section of this announcement.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Research and development expenses </w:t>
      </w:r>
      <w:r>
        <w:rPr>
          <w:rFonts w:ascii="Times New Roman;Times;Serif" w:hAnsi="Times New Roman;Times;Serif"/>
          <w:b w:val="false"/>
          <w:i w:val="false"/>
          <w:caps w:val="false"/>
          <w:smallCaps w:val="false"/>
          <w:color w:val="231F20"/>
          <w:sz w:val="20"/>
        </w:rPr>
        <w:t>were USD104.1 million during the six months ended June 30, 2026, representing an increase of 7.9% from USD96.5 million for the six months ended June 30, 2025. Non-GAAP research and development expenses were USD95.1 million during the six months ended June 30, 2026, representing an increase of 12.4% from USD84.6 million for the six months ended June 30, 2025. The increase was primarily driven by (i) higher personnel-related costs resulting from the expansion of our R&amp;D team to enhance our capacity for large-scale deployment, (ii) higher expenses related to development and testing, a portion of which represented non-recurring expenses incurred in connection with the development and engineering validation of the upgraded vehicle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Selling, general and administrative expenses </w:t>
      </w:r>
      <w:r>
        <w:rPr>
          <w:rFonts w:ascii="Times New Roman;Times;Serif" w:hAnsi="Times New Roman;Times;Serif"/>
          <w:b w:val="false"/>
          <w:i w:val="false"/>
          <w:caps w:val="false"/>
          <w:smallCaps w:val="false"/>
          <w:color w:val="231F20"/>
          <w:sz w:val="20"/>
        </w:rPr>
        <w:t>were USD31.9 million during the six months ended June 30, 2026, representing an increase of 20.0% from USD26.6 million for the six months ended June 30, 2025. Non-GAAP selling, general and administrative expenses were USD27.2 million during the six months ended June 30, 2026, representing an increase of 22.5% from USD22.2 million for the six months ended June 30, 2025. The increase was primarily attributable to higher expenses incurred in support of our business growth and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Loss from operations </w:t>
      </w:r>
      <w:r>
        <w:rPr>
          <w:rFonts w:ascii="Times New Roman;Times;Serif" w:hAnsi="Times New Roman;Times;Serif"/>
          <w:b w:val="false"/>
          <w:i w:val="false"/>
          <w:caps w:val="false"/>
          <w:smallCaps w:val="false"/>
          <w:color w:val="231F20"/>
          <w:sz w:val="20"/>
        </w:rPr>
        <w:t>was USD124.1 million for the six months ended June 30, 2026, compared to USD117.3 million for the six months ended June 30, 2025. Non-GAAP loss from operations was USD110.5 million for the six months ended June 30, 2026, compared to USD101.1 million for the six months ended June 30, 2025, primarily reflecting higher operating expenses discussed above, partially offset by improved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Operating loss margin</w:t>
      </w:r>
      <w:r>
        <w:rPr>
          <w:rFonts w:ascii="Times New Roman;Times;Serif" w:hAnsi="Times New Roman;Times;Serif"/>
          <w:b w:val="false"/>
          <w:i w:val="false"/>
          <w:caps w:val="false"/>
          <w:smallCaps w:val="false"/>
          <w:color w:val="231F20"/>
          <w:sz w:val="20"/>
        </w:rPr>
        <w:t xml:space="preserve"> was 176.1% for the six months ended June 30, 2026, compared to 331.1% for the six months ended June 30, 2025. Non-GAAP operating loss margin was 156.7% for the six months ended June 30, 2026, compared to 285.3% for the six months ended June 30, 2025. The year-over-year reductions in net loss margin and non-GAAP operating loss margin primarily reflected improved operating leverage as our operations continued to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Changes in fair value of trading securities</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Changes in fair value of trading securities</w:t>
      </w:r>
      <w:r>
        <w:rPr>
          <w:rFonts w:ascii="Times New Roman;Times;Serif" w:hAnsi="Times New Roman;Times;Serif"/>
          <w:b w:val="false"/>
          <w:i w:val="false"/>
          <w:caps w:val="false"/>
          <w:smallCaps w:val="false"/>
          <w:color w:val="231F20"/>
          <w:sz w:val="20"/>
        </w:rPr>
        <w:t xml:space="preserve"> resulted in a gain of USD25.7 million for the six months ended June 30, 2026, compared to a loss of USD6.2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income (expenses), net</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Other expenses, net</w:t>
      </w:r>
      <w:r>
        <w:rPr>
          <w:rFonts w:ascii="Times New Roman;Times;Serif" w:hAnsi="Times New Roman;Times;Serif"/>
          <w:b w:val="false"/>
          <w:i w:val="false"/>
          <w:caps w:val="false"/>
          <w:smallCaps w:val="false"/>
          <w:color w:val="231F20"/>
          <w:sz w:val="20"/>
        </w:rPr>
        <w:t xml:space="preserve"> was USD22.6 million for the six months ended June 30, 2026, compared to other income, net of USD4.2 million for the six months ended June 30, 2025, primarily attributable to a one-off impairment provision of USD25.0 million recognized on certain prepayments for long-term investments, which are determined to be unrecoverable, following proactive strategic adjustments to the relevant business and the engagement of new strategic partners to better support the long-term development.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Net loss </w:t>
      </w:r>
      <w:r>
        <w:rPr>
          <w:rFonts w:ascii="Times New Roman;Times;Serif" w:hAnsi="Times New Roman;Times;Serif"/>
          <w:b w:val="false"/>
          <w:i w:val="false"/>
          <w:caps w:val="false"/>
          <w:smallCaps w:val="false"/>
          <w:color w:val="231F20"/>
          <w:sz w:val="20"/>
        </w:rPr>
        <w:t>was USD98.9 million for the six months ended June 30, 2026, representing an increase of 9.1% from USD90.6 million for the six months ended June 30, 2025. Non-GAAP net loss was USD85.9 million for the six months ended June 30, 2026, representing an increase of 26.0% from USD68.2 million for the six months ended June 30, 2025. The increases were mainly attributable to (i) a decrease in investment income, due to a higher base for the six months ended June 30, 2025, which included certain realized investment gains, and (ii) a moderate increase in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 xml:space="preserve">Net loss margin </w:t>
      </w:r>
      <w:r>
        <w:rPr>
          <w:rFonts w:ascii="Times New Roman;Times;Serif" w:hAnsi="Times New Roman;Times;Serif"/>
          <w:b w:val="false"/>
          <w:i w:val="false"/>
          <w:caps w:val="false"/>
          <w:smallCaps w:val="false"/>
          <w:color w:val="231F20"/>
          <w:sz w:val="20"/>
        </w:rPr>
        <w:t>was 140.3% for the six months ended June 30, 2026, compared to 255.8% for the six months ended June 30, 2025. Non-GAAP net loss margin was 121.9% for the six months ended June 30, 2026, compared to 192.4% for the six months ended June 30, 2025. The year-over-year reductions in net loss margin and non-GAAP net loss margin primarily reflected improved operating leverage as our operations continued to scale. The reduction in net loss margin also reflected the impact of certain non-operating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 attributable to Pony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loss attributable to Pony AI Inc. was USD110.3 million for the six months ended June 30, 2026, compared to USD96.1 million for the six months ended June 30, 2025. The difference between total net loss and Net loss attributable to Pony AI Inc. is the USD11.4 million of net income allocated to non-controlling interests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Basic and Diluted Net Loss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Basic and diluted net loss per ordinary share</w:t>
      </w:r>
      <w:r>
        <w:rPr>
          <w:rFonts w:ascii="Times New Roman;Times;Serif" w:hAnsi="Times New Roman;Times;Serif"/>
          <w:b w:val="false"/>
          <w:i w:val="false"/>
          <w:caps w:val="false"/>
          <w:smallCaps w:val="false"/>
          <w:color w:val="231F20"/>
          <w:sz w:val="20"/>
        </w:rPr>
        <w:t xml:space="preserve"> was both USD0.25 for the six months ended June 30, 2026, compared to USD0.27 for the six months ended June 30, 2025. Non-GAAP basic and diluted net loss per ordinary share was both USD0.20 for the six months ended June 30, 2026 and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Liquidity and Source of Funding and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the Group has financed its operations primarily through our existing cash and capital resources. The Group had cash and cash equivalents, short-term investments, restricted cash and long-term debt instruments for wealth management of USD1,390.5 million and USD1,514.8 million as of June 30, 2026 and December 31, 2025, respectively. The decrease primarily reflected operating cash outflows and capital expenditures supporting the continued mass production and deployment of the Gen-7 Robotaxi fleet, as well as expenditures for data centers and servers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net cash used in operating activities was USD118.2 million during the six months ended June 30, 2026, compared with USD79.6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Material Acquisitions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did not have any material acquisitions or disposals of subsidiaries, consolidated affiliated subsidiaries, associated companies or joint ventures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Pledge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As at June 30, 2026, the Group had pledged bank deposits with an aggregate carrying amount of USD1.4 million as security for bank borrowings of the Group</w:t>
      </w:r>
      <w:r>
        <w:rPr>
          <w:rFonts w:eastAsia="Times New Roman;Times;Serif"/>
          <w:b w:val="false"/>
          <w:i w:val="false"/>
          <w:caps w:val="false"/>
          <w:smallCaps w:val="false"/>
          <w:color w:val="231F20"/>
          <w:sz w:val="20"/>
        </w:rPr>
        <w:t>（</w:t>
      </w:r>
      <w:r>
        <w:rPr>
          <w:rFonts w:ascii="Times New Roman;Times;Serif" w:hAnsi="Times New Roman;Times;Serif"/>
          <w:b w:val="false"/>
          <w:i w:val="false"/>
          <w:caps w:val="false"/>
          <w:smallCaps w:val="false"/>
          <w:color w:val="231F20"/>
          <w:sz w:val="20"/>
        </w:rPr>
        <w:t>December 31, 2025: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Future Plans for Material Investments or Capital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did not have detailed future plans for material investments or capital assets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Gearing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at June 30, 2026, the Company’s gearing ratio, calculated as total liabilities divided by total assets was 5.3%, compared with 5.7% as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exposure to interest rate risk primarily relates to the interest income generated by excess cash, which is mostly held in interest-bearing bank deposits.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functional currency of our foreign subsidiaries is the local currency or U.S. dollar depending on the nature of the subsidiaries’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Foreign currency transactions recognized in the consolidated statements of operations are converted to the functional currency by applying the exchange rate prevailing on the date of the transaction. Our results of operations and cash flows are subject to fluctuations due to changes in foreign currency exchange rates. To date, foreign currency transaction gains and losses have not been material to our consolidated financial statements, and we have not engaged in any foreign currency hedging strategies as of June 30, 2026. As our international operations grow, we will continue to reassess our approach to manage our risk relating to fluctuations in currency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Inflation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do not believe that inflation has had a material effect on our business, financial condition or results of operations, other than its impact on the general economy. Nonetheless, if our costs were to become subject to inflationary pressures, we may not be able to fully offset such higher costs through price increases. Our inability or failure to do so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had no material contingent liabilities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Capital Commitment and Capital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had no capital commitment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capital expenditure for the year ending December 31, 2026 is expected to be financed by its existing cash resources, including the proceeds from the Global Offering and prior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is committed to achieving high corporate governance standards. The Board believes that high corporate governance standards are essential in providing a framework for the Company to safeguard the interests of shareholders and to enhance corporate value and accountability.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Compliance with the Code on Corporate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and up to the date of this announcement, we have complied with all of the applicable code provisions of the Corporate Governance Code (the “</w:t>
      </w:r>
      <w:r>
        <w:rPr>
          <w:rFonts w:ascii="Times New Roman;Times;Serif" w:hAnsi="Times New Roman;Times;Serif"/>
          <w:b/>
          <w:i w:val="false"/>
          <w:caps w:val="false"/>
          <w:smallCaps w:val="false"/>
          <w:color w:val="231F20"/>
          <w:sz w:val="20"/>
        </w:rPr>
        <w:t>Corporate Governance Code</w:t>
      </w:r>
      <w:r>
        <w:rPr>
          <w:rFonts w:ascii="Times New Roman;Times;Serif" w:hAnsi="Times New Roman;Times;Serif"/>
          <w:b w:val="false"/>
          <w:i w:val="false"/>
          <w:caps w:val="false"/>
          <w:smallCaps w:val="false"/>
          <w:color w:val="231F20"/>
          <w:sz w:val="20"/>
        </w:rPr>
        <w:t>”) set forth in Appendix C1 to the Rules Governing the Listing of Securities on the Stock Exchange (the “</w:t>
      </w:r>
      <w:r>
        <w:rPr>
          <w:rFonts w:ascii="Times New Roman;Times;Serif" w:hAnsi="Times New Roman;Times;Serif"/>
          <w:b/>
          <w:i w:val="false"/>
          <w:caps w:val="false"/>
          <w:smallCaps w:val="false"/>
          <w:color w:val="231F20"/>
          <w:sz w:val="20"/>
        </w:rPr>
        <w:t>Listing Rules</w:t>
      </w:r>
      <w:r>
        <w:rPr>
          <w:rFonts w:ascii="Times New Roman;Times;Serif" w:hAnsi="Times New Roman;Times;Serif"/>
          <w:b w:val="false"/>
          <w:i w:val="false"/>
          <w:caps w:val="false"/>
          <w:smallCaps w:val="false"/>
          <w:color w:val="231F20"/>
          <w:sz w:val="20"/>
        </w:rPr>
        <w:t>”), save for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code provision C.2.1 of the Corporate Governance Code, companies listed on the Stock Exchange are expected to comply with, but may choose to deviate from the requirement that the responsibilities between the chairperson and the chief executive officer should be segregated and should not be performed by the same individual. We do not have a separate Chairman of the Board and chief executive officer (“</w:t>
      </w:r>
      <w:r>
        <w:rPr>
          <w:rFonts w:ascii="Times New Roman;Times;Serif" w:hAnsi="Times New Roman;Times;Serif"/>
          <w:b/>
          <w:i w:val="false"/>
          <w:caps w:val="false"/>
          <w:smallCaps w:val="false"/>
          <w:color w:val="231F20"/>
          <w:sz w:val="20"/>
        </w:rPr>
        <w:t>Chief Executive Officer</w:t>
      </w:r>
      <w:r>
        <w:rPr>
          <w:rFonts w:ascii="Times New Roman;Times;Serif" w:hAnsi="Times New Roman;Times;Serif"/>
          <w:b w:val="false"/>
          <w:i w:val="false"/>
          <w:caps w:val="false"/>
          <w:smallCaps w:val="false"/>
          <w:color w:val="231F20"/>
          <w:sz w:val="20"/>
        </w:rPr>
        <w:t>”) of the Company and Dr. Jun Peng (“</w:t>
      </w:r>
      <w:r>
        <w:rPr>
          <w:rFonts w:ascii="Times New Roman;Times;Serif" w:hAnsi="Times New Roman;Times;Serif"/>
          <w:b/>
          <w:i w:val="false"/>
          <w:caps w:val="false"/>
          <w:smallCaps w:val="false"/>
          <w:color w:val="231F20"/>
          <w:sz w:val="20"/>
        </w:rPr>
        <w:t>Dr. Peng</w:t>
      </w:r>
      <w:r>
        <w:rPr>
          <w:rFonts w:ascii="Times New Roman;Times;Serif" w:hAnsi="Times New Roman;Times;Serif"/>
          <w:b w:val="false"/>
          <w:i w:val="false"/>
          <w:caps w:val="false"/>
          <w:smallCaps w:val="false"/>
          <w:color w:val="231F20"/>
          <w:sz w:val="20"/>
        </w:rPr>
        <w:t>”) currently performs these two roles. The Board believes that, in view of Dr. Peng’s experience, personal profile and his roles in our Company as mentioned above, Dr. Peng is the Director best suited to identify strategic opportunities and focus on the Board due to his extensive understanding of our business as our Chief Executive Officer. Our Board also believes that the combined roles of both chairperson and chief executive officer can promote the effective execution of strategic initiatives and facilitate the flow of information between management and our Board. Our Board will continue to review and consider splitting the roles of Chairman of the Board and the Chief Executive Officer if and when it is appropriate taking into account the circumstances of the Group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Board considers that the balance of power and authority will not be impaired due to this arrangement. In addition, all major decisions are made in consultation with members of the Board, including the relevant Board committees, and the independent non-executive Directors. Our Board will reassess the division of the roles of chairperson and the chief executive officer from time to time, and may recommend dividing the two roles between different people in the future, taking into account our circumstances as a whole. The Company will continue to regularly review and monitor its corporate governance practices to ensure compliance with the Corporate Governance Code, and maintain a high standard of corporate governance practices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Compliance with the Model Code for Securities Transactions by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has adopted a code of conduct regarding directors’ securities transactions on terms no less exacting than the Model Code for Securities Transactions by Directors of Listed Issuers (“</w:t>
      </w:r>
      <w:r>
        <w:rPr>
          <w:rFonts w:ascii="Times New Roman;Times;Serif" w:hAnsi="Times New Roman;Times;Serif"/>
          <w:b/>
          <w:i w:val="false"/>
          <w:caps w:val="false"/>
          <w:smallCaps w:val="false"/>
          <w:color w:val="231F20"/>
          <w:sz w:val="20"/>
        </w:rPr>
        <w:t>Model Code</w:t>
      </w:r>
      <w:r>
        <w:rPr>
          <w:rFonts w:ascii="Times New Roman;Times;Serif" w:hAnsi="Times New Roman;Times;Serif"/>
          <w:b w:val="false"/>
          <w:i w:val="false"/>
          <w:caps w:val="false"/>
          <w:smallCaps w:val="false"/>
          <w:color w:val="231F20"/>
          <w:sz w:val="20"/>
        </w:rPr>
        <w:t>”) as set out in Appendix C3 to the Listing Rules, as its own securities dealing code to regulate all dealings by Directors and relevant employees of securities in the Company and other matters covered by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Specific enquiry has been made of all the Directors, and they have confirmed that they have complied with all relevant requirements set out in the Model Code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REVIEW OF FINANCIAL STATEMENTS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established the Audit Committee with written terms of reference in compliance with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3.21 of the Listing Rules and paragraph D.3 of Part 2 of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primary duties of the Audit Committee are to review and supervise the financial reporting process and the risk management and internal control systems of the Company, review and approve connected transactions and provide advice and comments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Audit Committee has reviewed the unaudited condensed consolidated financial statements for the six months ended June 30, 2026. The Audit Committee has also discussed matters with respect to the accounting policies and practices adopted by the Company and internal control and financial reporting matters with senior management members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addition, the independent auditor of the Company, Messrs. Deloitte Touche Tohmatsu, has reviewed our unaudited condensed consolidated financial statements for the six months ended June 30, 2026 in accordance with Hong Kong Standard on Review Engagements 2410 “</w:t>
      </w:r>
      <w:r>
        <w:rPr>
          <w:rFonts w:ascii="Times New Roman;Times;Serif" w:hAnsi="Times New Roman;Times;Serif"/>
          <w:b w:val="false"/>
          <w:i/>
          <w:caps w:val="false"/>
          <w:smallCaps w:val="false"/>
          <w:color w:val="231F20"/>
          <w:sz w:val="20"/>
        </w:rPr>
        <w:t xml:space="preserve">Review of Interim Financial Information Performed by the Independent Auditor of the Entity </w:t>
      </w:r>
      <w:r>
        <w:rPr>
          <w:rFonts w:ascii="Times New Roman;Times;Serif" w:hAnsi="Times New Roman;Times;Serif"/>
          <w:b w:val="false"/>
          <w:i w:val="false"/>
          <w:caps w:val="false"/>
          <w:smallCaps w:val="false"/>
          <w:color w:val="231F20"/>
          <w:sz w:val="20"/>
        </w:rPr>
        <w:t>” issued by the Hong Kong Institute of Certified Public Accountants.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Purchase, Sale or Redemption of the Company’s Listed Securities or Sale of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Neither the Company nor any of its subsidiaries purchased, sold or redeemed any of the Company’s securities listed on the Stock Exchange and Nasdaq or sold any treasury Shares (as defined under the Listing Rules) during the Reporting Period. As of June 30, 2026, the Company did not hold any treasury Shares (as defined under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Material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was not involved in any material litigation or arbitration during the six months ended June 30, 2026. The Directors are also not aware of any material litigation or claims that are pending or threatened against the Group since the Listing Date and up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Important Events after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the Company granted 1,326,736 RSUs to its employees under the 2026 Share Scheme. These share awards carry a 10-year contractual term and vest over a period of four years starting from the date specified in each agreement. For further details, please refer to the announcement of the Company dated July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in this announcement, no important events affecting the Group occurred since June 30, 2026 and up to the date of this interim results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Interim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did not recommend the distribution of an interim dividend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uses non-GAAP financial measures, such as non-GAAP net loss, in evaluating its operating results and for financial and operational decision-making purposes. The Company defines non-GAAP financial measures by excluding the impact of share-based compensation expenses, changes in fair value of trading securities and impairment loss on prepayment for long-term investments. The Company believes that non-GAAP financial measures help identify the underlying trends in our business, provide useful information about our results of operations, and enhance the overall understanding of our past performance and future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the financial information prepared in accordance with U.S. GAAP. The Company encourages investors and others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mitigates these limitations by reconciling the non-GAAP financial measures to the most comparable U.S. GAAP performance measures, all of which should be considered when evaluating the Company’s performance. For more information on the non-GAAP financial measures, please see the table captioned “Unaudited Reconciliation of U.S. GAAP and Non-GAAP Results” set forth at the end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announcement contains forward-looking statements. These statements are made under the “safe harbor” provisions of the U.S. Private Securities Litigation Reform Act of 1995. Statements that are not historical facts, including statements about the Company’s beliefs, and expectations, such as the expected fleet size and expected city deployment,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and announcements on the website of the Stock Exchange. The forward-looking statements included in this announcement are only made as of the date hereof, and the Company disclaims any obligation to publicly update any forward-looking statement to reflect subsequent events or circumstances, except as required by law. All forward-looking statements should be evaluated with the understanding of their inherent uncertainty.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OPERATIONS AND COMPREHENSIVE LOSS</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6"/>
        <w:gridCol w:w="60"/>
        <w:gridCol w:w="132"/>
        <w:gridCol w:w="278"/>
        <w:gridCol w:w="63"/>
        <w:gridCol w:w="63"/>
        <w:gridCol w:w="63"/>
        <w:gridCol w:w="1129"/>
        <w:gridCol w:w="85"/>
        <w:gridCol w:w="63"/>
        <w:gridCol w:w="63"/>
        <w:gridCol w:w="1129"/>
        <w:gridCol w:w="101"/>
      </w:tblGrid>
      <w:tr>
        <w:trPr/>
        <w:tc>
          <w:tcPr>
            <w:tcW w:w="6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06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10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w:t>
            </w:r>
          </w:p>
        </w:tc>
        <w:tc>
          <w:tcPr>
            <w:tcW w:w="6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 xml:space="preserve">2025 </w:t>
            </w:r>
          </w:p>
        </w:tc>
        <w:tc>
          <w:tcPr>
            <w:tcW w:w="8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10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gridSpan w:val="2"/>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92"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8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9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USD</w:t>
            </w:r>
          </w:p>
        </w:tc>
        <w:tc>
          <w:tcPr>
            <w:tcW w:w="10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Revenues</w:t>
            </w:r>
          </w:p>
        </w:tc>
        <w:tc>
          <w:tcPr>
            <w:tcW w:w="60" w:type="dxa"/>
            <w:tcBorders/>
            <w:shd w:fill="CCEEFF" w:val="clear"/>
            <w:vAlign w:val="center"/>
          </w:tcPr>
          <w:p>
            <w:pPr>
              <w:pStyle w:val="TableContents"/>
              <w:bidi w:val="0"/>
              <w:spacing w:before="0" w:after="283"/>
              <w:jc w:val="left"/>
              <w:rPr/>
            </w:pPr>
            <w:r>
              <w:rPr/>
              <w:t> </w:t>
            </w:r>
          </w:p>
        </w:tc>
        <w:tc>
          <w:tcPr>
            <w:tcW w:w="410" w:type="dxa"/>
            <w:gridSpan w:val="2"/>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2"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2"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Service revenues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36,194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Product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13,749</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34,276</w:t>
            </w:r>
          </w:p>
        </w:tc>
        <w:tc>
          <w:tcPr>
            <w:tcW w:w="10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35,434</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70,470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(29,655</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(58,559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11,911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(96,516</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(104,114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(26,574</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(31,876</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97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(123,090</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(135,990</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(117,311</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(124,079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22,200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fair value of trading securities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(6,234</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25,663</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income (expenses), net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4,219</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(22,644</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97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(90,639</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(98,860</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tax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8"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8</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w:t>
            </w:r>
          </w:p>
        </w:tc>
        <w:tc>
          <w:tcPr>
            <w:tcW w:w="10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97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8"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(90,640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(98,861</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11,390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Pony AI Inc.</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(96,086</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(110,251</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outstanding used in computing net loss per ordinary share, basic and diluted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8"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7</w:t>
            </w:r>
          </w:p>
        </w:tc>
        <w:tc>
          <w:tcPr>
            <w:tcW w:w="6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359,375,886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433,546,371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loss per ordinary share, basic and diluted</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(0.27</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(0.25</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OPERATIONS AND COMPREHENSIVE LOSS (CONTINUED)</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5"/>
        <w:gridCol w:w="60"/>
        <w:gridCol w:w="205"/>
        <w:gridCol w:w="205"/>
        <w:gridCol w:w="88"/>
        <w:gridCol w:w="88"/>
        <w:gridCol w:w="88"/>
        <w:gridCol w:w="1115"/>
        <w:gridCol w:w="117"/>
        <w:gridCol w:w="88"/>
        <w:gridCol w:w="88"/>
        <w:gridCol w:w="959"/>
        <w:gridCol w:w="99"/>
      </w:tblGrid>
      <w:tr>
        <w:trPr/>
        <w:tc>
          <w:tcPr>
            <w:tcW w:w="7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04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9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Note</w:t>
            </w:r>
          </w:p>
        </w:tc>
        <w:tc>
          <w:tcPr>
            <w:tcW w:w="8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 xml:space="preserve">2025 </w:t>
            </w:r>
          </w:p>
        </w:tc>
        <w:tc>
          <w:tcPr>
            <w:tcW w:w="11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gridSpan w:val="2"/>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03"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11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USD</w:t>
            </w:r>
          </w:p>
        </w:tc>
        <w:tc>
          <w:tcPr>
            <w:tcW w:w="9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(90,640</w:t>
            </w:r>
          </w:p>
        </w:tc>
        <w:tc>
          <w:tcPr>
            <w:tcW w:w="1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(98,861</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0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19,670</w:t>
            </w:r>
          </w:p>
        </w:tc>
        <w:tc>
          <w:tcPr>
            <w:tcW w:w="9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Foreign currency translation adjustments Unrealized (loss) gain on available-for-sale investments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(13,771</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0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(loss) income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(13,657</w:t>
            </w:r>
          </w:p>
        </w:tc>
        <w:tc>
          <w:tcPr>
            <w:tcW w:w="11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22,106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(104,297</w:t>
            </w:r>
          </w:p>
        </w:tc>
        <w:tc>
          <w:tcPr>
            <w:tcW w:w="11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(76,755</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0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w:t>
            </w:r>
          </w:p>
        </w:tc>
        <w:tc>
          <w:tcPr>
            <w:tcW w:w="11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13,378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r>
              <w:rPr>
                <w:rFonts w:ascii="Times New Roman;Times;Serif" w:hAnsi="Times New Roman;Times;Serif"/>
                <w:b/>
                <w:i w:val="false"/>
                <w:caps w:val="false"/>
                <w:smallCaps w:val="false"/>
                <w:sz w:val="20"/>
              </w:rPr>
              <w:t>tal comprehensive loss attributable to Pony AI Inc.</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(104,045</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(90,133</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BALANCE SHEETS</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8044" w:type="dxa"/>
        <w:jc w:val="left"/>
        <w:tblInd w:w="0" w:type="dxa"/>
        <w:tblLayout w:type="fixed"/>
        <w:tblCellMar>
          <w:top w:w="0" w:type="dxa"/>
          <w:left w:w="0" w:type="dxa"/>
          <w:bottom w:w="0" w:type="dxa"/>
          <w:right w:w="0" w:type="dxa"/>
        </w:tblCellMar>
      </w:tblPr>
      <w:tblGrid>
        <w:gridCol w:w="4730"/>
        <w:gridCol w:w="60"/>
        <w:gridCol w:w="132"/>
        <w:gridCol w:w="278"/>
        <w:gridCol w:w="60"/>
        <w:gridCol w:w="60"/>
        <w:gridCol w:w="106"/>
        <w:gridCol w:w="1518"/>
        <w:gridCol w:w="60"/>
        <w:gridCol w:w="60"/>
        <w:gridCol w:w="60"/>
        <w:gridCol w:w="845"/>
        <w:gridCol w:w="7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 xml:space="preserve">As of December 31, </w:t>
              <w:br/>
              <w:t>2025</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As of </w:t>
              <w:br/>
              <w:t>June 30,</w:t>
              <w:br/>
              <w:t>2026</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62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905"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293,489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327,111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Restricted cash, current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1,936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4,678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872,158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787,008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receivable, net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8"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23,644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43,324</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Amounts due from related parties, current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11,338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12,907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48,074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61,784</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1,250,639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1,236,812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non-current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equipment and software, net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60,467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98,533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14,811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18,792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454,942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375,660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Prepayment for long-term investments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25,000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6,690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8,725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562,198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501,827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1,812,837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1,738,639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70,818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4,792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5,510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Amounts due to related parties, current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1,422</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1,250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1,988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1,912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18"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Pony AI Inc. shareholders’ equity</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1,652,277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1,575,534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1,645,634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1,812,837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1,738,639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CASH FLOWS</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(All amounts in thousands, except for share and per share data)</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357" w:type="dxa"/>
        <w:jc w:val="left"/>
        <w:tblInd w:w="0" w:type="dxa"/>
        <w:tblLayout w:type="fixed"/>
        <w:tblCellMar>
          <w:top w:w="0" w:type="dxa"/>
          <w:left w:w="0" w:type="dxa"/>
          <w:bottom w:w="0" w:type="dxa"/>
          <w:right w:w="0" w:type="dxa"/>
        </w:tblCellMar>
      </w:tblPr>
      <w:tblGrid>
        <w:gridCol w:w="6245"/>
        <w:gridCol w:w="60"/>
        <w:gridCol w:w="100"/>
        <w:gridCol w:w="1262"/>
        <w:gridCol w:w="133"/>
        <w:gridCol w:w="100"/>
        <w:gridCol w:w="100"/>
        <w:gridCol w:w="1262"/>
        <w:gridCol w:w="95"/>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9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w:t>
            </w:r>
            <w:r>
              <w:rPr>
                <w:rFonts w:ascii="Times New Roman;Times;Serif" w:hAnsi="Times New Roman;Times;Serif"/>
                <w:b w:val="false"/>
                <w:i w:val="false"/>
                <w:caps w:val="false"/>
                <w:smallCaps w:val="false"/>
                <w:color w:val="231F20"/>
                <w:sz w:val="20"/>
              </w:rPr>
              <w:t>30,</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2025</w:t>
            </w:r>
          </w:p>
        </w:tc>
        <w:tc>
          <w:tcPr>
            <w:tcW w:w="133"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36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362"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133"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362"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(79,570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(118,215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(used in) provided by investing activities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(160,416</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160,870</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23,600</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(217,431</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536,172</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295,713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318,741</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331,906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NOTES TO THE UNAUDITED CONDENSED CONSOLIDATED FINANCIAL INFORMATION</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20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3110" w:type="dxa"/>
            <w:tcBorders/>
            <w:vAlign w:val="center"/>
          </w:tcPr>
          <w:p>
            <w:pPr>
              <w:pStyle w:val="TableContents"/>
              <w:bidi w:val="0"/>
              <w:spacing w:before="0" w:after="283"/>
              <w:jc w:val="both"/>
              <w:rPr>
                <w:b/>
              </w:rPr>
            </w:pPr>
            <w:r>
              <w:rPr>
                <w:b/>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Pony AI Inc.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was incorporated under the laws of the Cayman Islands on November 4, 2016. The Company and its Subsidiaries (collectively,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is an artificial intelligence technology company that principally engaged in the operation and development of autonomous vehicles. The Group conducts its operation mainly in the People’s Republic of China (“</w:t>
      </w:r>
      <w:r>
        <w:rPr>
          <w:rFonts w:ascii="Times New Roman;Times;Serif" w:hAnsi="Times New Roman;Times;Serif"/>
          <w:b/>
          <w:i w:val="false"/>
          <w:caps w:val="false"/>
          <w:smallCaps w:val="false"/>
          <w:color w:val="231F20"/>
          <w:sz w:val="20"/>
        </w:rPr>
        <w:t>PRC</w:t>
      </w:r>
      <w:r>
        <w:rPr>
          <w:rFonts w:ascii="Times New Roman;Times;Serif" w:hAnsi="Times New Roman;Times;Serif"/>
          <w:b w:val="false"/>
          <w:i w:val="false"/>
          <w:caps w:val="false"/>
          <w:smallCaps w:val="false"/>
          <w:color w:val="231F20"/>
          <w:sz w:val="20"/>
        </w:rPr>
        <w:t>”) and the United States of America (“</w:t>
      </w:r>
      <w:r>
        <w:rPr>
          <w:rFonts w:ascii="Times New Roman;Times;Serif" w:hAnsi="Times New Roman;Times;Serif"/>
          <w:b/>
          <w:i w:val="false"/>
          <w:caps w:val="false"/>
          <w:smallCaps w:val="false"/>
          <w:color w:val="231F20"/>
          <w:sz w:val="20"/>
        </w:rPr>
        <w:t>U.S.</w:t>
      </w:r>
      <w:r>
        <w:rPr>
          <w:rFonts w:ascii="Times New Roman;Times;Serif" w:hAnsi="Times New Roman;Times;Serif"/>
          <w:b w:val="false"/>
          <w:i w:val="false"/>
          <w:caps w:val="false"/>
          <w:smallCaps w:val="false"/>
          <w:color w:val="231F20"/>
          <w:sz w:val="20"/>
        </w:rPr>
        <w:t>”) through subsidiaries.</w:t>
      </w:r>
    </w:p>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0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2990" w:type="dxa"/>
            <w:tcBorders/>
            <w:vAlign w:val="center"/>
          </w:tcPr>
          <w:p>
            <w:pPr>
              <w:pStyle w:val="TableContents"/>
              <w:bidi w:val="0"/>
              <w:spacing w:before="0" w:after="283"/>
              <w:jc w:val="both"/>
              <w:rPr>
                <w:b/>
              </w:rPr>
            </w:pPr>
            <w:r>
              <w:rPr>
                <w:b/>
              </w:rPr>
              <w:t>BASIS OF PREPARATION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accompanying unaudited condensed consolidated financial statements have been prepared in accordance with U.S. GAAP for interim financial information and the disclosure requirements of the Rules Governing the Listing of Securities on The HKEX, as amended, supplemented or otherwise modified from time to time.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The unaudited condensed consolidated financial statements have been prepared on the same basis as the audited financial statements and include all adjustments as necessary for the fair statement of the Company’s financial position as of December 31, 2025 and June 30, 2026, and its results of operations and cash flows for the six months ended June 30, 2025 and 2026. The consolidated balance sheet as of December 31, 2025 has been derived from the audited financial statements at that date but does not include all the information and footnotes required by U.S. GAAP. The unaudited condensed consolidated financial statements and related disclosures have been prepared with the presumption that users of the unaudited condensed consolidated financial statements have read or have access to the audited consolidated financial statements for the preceding fiscal years. Accordingly, these financial statements should be read in conjunction with the audited consolidated financial statements and related footnotes for the year ended December 31, 2025. The accounting policies applied are consistent with those of the audited consolidated financial statements for the preceding fiscal year. Interim results of operations are not necessarily indicative of the results expected for the full fiscal year or for any future period.</w:t>
      </w:r>
    </w:p>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0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1280" w:type="dxa"/>
            <w:tcBorders/>
            <w:vAlign w:val="center"/>
          </w:tcPr>
          <w:p>
            <w:pPr>
              <w:pStyle w:val="TableContents"/>
              <w:bidi w:val="0"/>
              <w:spacing w:before="0" w:after="283"/>
              <w:jc w:val="both"/>
              <w:rPr>
                <w:b/>
              </w:rPr>
            </w:pPr>
            <w:r>
              <w:rPr>
                <w:b/>
              </w:rPr>
              <w:t>DIVIDEND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dividend was paid or proposed for ordinary shareholders of the Company during the six months ended June 30, 2025 and 2026, nor has any dividend been proposed since the end of the reporting period to the date of this interim results announcement.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20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3560" w:type="dxa"/>
            <w:tcBorders/>
            <w:vAlign w:val="center"/>
          </w:tcPr>
          <w:p>
            <w:pPr>
              <w:pStyle w:val="TableContents"/>
              <w:bidi w:val="0"/>
              <w:spacing w:before="0" w:after="283"/>
              <w:jc w:val="both"/>
              <w:rPr/>
            </w:pPr>
            <w:r>
              <w:rPr/>
              <w:t>ACCOUNTS RECEIVABLE, NET</w:t>
            </w:r>
          </w:p>
        </w:tc>
      </w:tr>
    </w:tbl>
    <w:p>
      <w:pPr>
        <w:pStyle w:val="TextBody"/>
        <w:bidi w:val="0"/>
        <w:spacing w:before="0" w:after="283"/>
        <w:jc w:val="left"/>
        <w:rPr/>
      </w:pPr>
      <w:r>
        <w:rPr/>
        <w:t> </w:t>
      </w:r>
    </w:p>
    <w:tbl>
      <w:tblPr>
        <w:tblW w:w="4838" w:type="dxa"/>
        <w:jc w:val="left"/>
        <w:tblInd w:w="0" w:type="dxa"/>
        <w:tblLayout w:type="fixed"/>
        <w:tblCellMar>
          <w:top w:w="0" w:type="dxa"/>
          <w:left w:w="0" w:type="dxa"/>
          <w:bottom w:w="0" w:type="dxa"/>
          <w:right w:w="0" w:type="dxa"/>
        </w:tblCellMar>
      </w:tblPr>
      <w:tblGrid>
        <w:gridCol w:w="2690"/>
        <w:gridCol w:w="60"/>
        <w:gridCol w:w="104"/>
        <w:gridCol w:w="1025"/>
        <w:gridCol w:w="80"/>
        <w:gridCol w:w="60"/>
        <w:gridCol w:w="66"/>
        <w:gridCol w:w="658"/>
        <w:gridCol w:w="9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December 31,</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receivable, gross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25,792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46,041</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Allowance for doubtful accounts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(2,717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26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aging analysis based on invoice dates is as follows:</w:t>
      </w:r>
    </w:p>
    <w:p>
      <w:pPr>
        <w:pStyle w:val="TextBody"/>
        <w:bidi w:val="0"/>
        <w:spacing w:before="0" w:after="283"/>
        <w:jc w:val="left"/>
        <w:rPr/>
      </w:pPr>
      <w:r>
        <w:rPr/>
        <w:t> </w:t>
      </w:r>
    </w:p>
    <w:tbl>
      <w:tblPr>
        <w:tblW w:w="4783" w:type="dxa"/>
        <w:jc w:val="left"/>
        <w:tblInd w:w="0" w:type="dxa"/>
        <w:tblLayout w:type="fixed"/>
        <w:tblCellMar>
          <w:top w:w="0" w:type="dxa"/>
          <w:left w:w="0" w:type="dxa"/>
          <w:bottom w:w="0" w:type="dxa"/>
          <w:right w:w="0" w:type="dxa"/>
        </w:tblCellMar>
      </w:tblPr>
      <w:tblGrid>
        <w:gridCol w:w="2675"/>
        <w:gridCol w:w="60"/>
        <w:gridCol w:w="104"/>
        <w:gridCol w:w="1025"/>
        <w:gridCol w:w="60"/>
        <w:gridCol w:w="60"/>
        <w:gridCol w:w="66"/>
        <w:gridCol w:w="658"/>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December 31,</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2025</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Within 3 months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12,034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21,924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Between 3 months and 6 months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4,385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13,519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Between 6 months and 1 year</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4,245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3,025</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More than 1 year</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2,980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4,856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20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7040" w:type="dxa"/>
            <w:tcBorders/>
            <w:vAlign w:val="center"/>
          </w:tcPr>
          <w:p>
            <w:pPr>
              <w:pStyle w:val="TableContents"/>
              <w:bidi w:val="0"/>
              <w:spacing w:before="0" w:after="283"/>
              <w:jc w:val="both"/>
              <w:rPr>
                <w:b/>
              </w:rPr>
            </w:pPr>
            <w:r>
              <w:rPr>
                <w:b/>
              </w:rPr>
              <w:t>ACCOUNTS PAYABLE AND OTHER CURRENT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Included in accounts payable and other current liabilities are accounts payables of USD18,948 as of June 30, 2026 (USD17,258 as of December 31, 2025) and their aging analysis based on invoice dates is as follows:</w:t>
      </w:r>
    </w:p>
    <w:p>
      <w:pPr>
        <w:pStyle w:val="TextBody"/>
        <w:bidi w:val="0"/>
        <w:spacing w:before="0" w:after="0"/>
        <w:ind w:left="0" w:right="0" w:hanging="0"/>
        <w:jc w:val="left"/>
        <w:rPr>
          <w:caps w:val="false"/>
          <w:smallCaps w:val="false"/>
        </w:rPr>
      </w:pPr>
      <w:r>
        <w:rPr>
          <w:caps w:val="false"/>
          <w:smallCaps w:val="false"/>
        </w:rPr>
        <w:t> </w:t>
      </w:r>
    </w:p>
    <w:tbl>
      <w:tblPr>
        <w:tblW w:w="4078" w:type="dxa"/>
        <w:jc w:val="left"/>
        <w:tblInd w:w="0" w:type="dxa"/>
        <w:tblLayout w:type="fixed"/>
        <w:tblCellMar>
          <w:top w:w="0" w:type="dxa"/>
          <w:left w:w="0" w:type="dxa"/>
          <w:bottom w:w="0" w:type="dxa"/>
          <w:right w:w="0" w:type="dxa"/>
        </w:tblCellMar>
      </w:tblPr>
      <w:tblGrid>
        <w:gridCol w:w="1415"/>
        <w:gridCol w:w="60"/>
        <w:gridCol w:w="150"/>
        <w:gridCol w:w="1489"/>
        <w:gridCol w:w="60"/>
        <w:gridCol w:w="60"/>
        <w:gridCol w:w="70"/>
        <w:gridCol w:w="699"/>
        <w:gridCol w:w="75"/>
      </w:tblGrid>
      <w:tr>
        <w:trPr/>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As of December 31, </w:t>
              <w:br/>
              <w:t>2025</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As of </w:t>
              <w:br/>
              <w:t xml:space="preserve">June 30, </w:t>
              <w:br/>
              <w:t>2026</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63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69"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Within 1 year</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16,524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18,916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More than 1 year</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734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41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8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488" w:type="dxa"/>
        <w:jc w:val="left"/>
        <w:tblInd w:w="0" w:type="dxa"/>
        <w:tblLayout w:type="fixed"/>
        <w:tblCellMar>
          <w:top w:w="0" w:type="dxa"/>
          <w:left w:w="0" w:type="dxa"/>
          <w:bottom w:w="0" w:type="dxa"/>
          <w:right w:w="0" w:type="dxa"/>
        </w:tblCellMar>
      </w:tblPr>
      <w:tblGrid>
        <w:gridCol w:w="38"/>
        <w:gridCol w:w="20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1250" w:type="dxa"/>
            <w:tcBorders/>
            <w:vAlign w:val="center"/>
          </w:tcPr>
          <w:p>
            <w:pPr>
              <w:pStyle w:val="TableContents"/>
              <w:bidi w:val="0"/>
              <w:spacing w:before="0" w:after="283"/>
              <w:jc w:val="both"/>
              <w:rPr>
                <w:b/>
              </w:rPr>
            </w:pPr>
            <w:r>
              <w:rPr>
                <w:b/>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Revenues disaggregated by nature for the six months ended June 30, 2025 and 2026 consist of the following:</w:t>
      </w:r>
    </w:p>
    <w:p>
      <w:pPr>
        <w:pStyle w:val="TextBody"/>
        <w:bidi w:val="0"/>
        <w:spacing w:before="0" w:after="0"/>
        <w:ind w:left="0" w:right="0" w:hanging="0"/>
        <w:jc w:val="left"/>
        <w:rPr>
          <w:caps w:val="false"/>
          <w:smallCaps w:val="false"/>
        </w:rPr>
      </w:pPr>
      <w:r>
        <w:rPr>
          <w:caps w:val="false"/>
          <w:smallCaps w:val="false"/>
        </w:rPr>
        <w:t> </w:t>
      </w:r>
    </w:p>
    <w:tbl>
      <w:tblPr>
        <w:tblW w:w="4808" w:type="dxa"/>
        <w:jc w:val="left"/>
        <w:tblInd w:w="0" w:type="dxa"/>
        <w:tblLayout w:type="fixed"/>
        <w:tblCellMar>
          <w:top w:w="0" w:type="dxa"/>
          <w:left w:w="0" w:type="dxa"/>
          <w:bottom w:w="0" w:type="dxa"/>
          <w:right w:w="0" w:type="dxa"/>
        </w:tblCellMar>
      </w:tblPr>
      <w:tblGrid>
        <w:gridCol w:w="1715"/>
        <w:gridCol w:w="60"/>
        <w:gridCol w:w="125"/>
        <w:gridCol w:w="1229"/>
        <w:gridCol w:w="125"/>
        <w:gridCol w:w="125"/>
        <w:gridCol w:w="125"/>
        <w:gridCol w:w="1229"/>
        <w:gridCol w:w="75"/>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9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Provision of services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21,685</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36,194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Sales of products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13,749</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34,276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35,434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70,470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Revenues disaggregated by timing of revenue recognition for the six months ended June 30, 2025 and 2026 consist of the following:</w:t>
      </w:r>
    </w:p>
    <w:p>
      <w:pPr>
        <w:pStyle w:val="TextBody"/>
        <w:bidi w:val="0"/>
        <w:spacing w:before="0" w:after="0"/>
        <w:ind w:left="0" w:right="0" w:hanging="0"/>
        <w:jc w:val="left"/>
        <w:rPr>
          <w:caps w:val="false"/>
          <w:smallCaps w:val="false"/>
        </w:rPr>
      </w:pPr>
      <w:r>
        <w:rPr>
          <w:caps w:val="false"/>
          <w:smallCaps w:val="false"/>
        </w:rPr>
        <w:t>  </w:t>
      </w:r>
    </w:p>
    <w:tbl>
      <w:tblPr>
        <w:tblW w:w="4358" w:type="dxa"/>
        <w:jc w:val="left"/>
        <w:tblInd w:w="0" w:type="dxa"/>
        <w:tblLayout w:type="fixed"/>
        <w:tblCellMar>
          <w:top w:w="0" w:type="dxa"/>
          <w:left w:w="0" w:type="dxa"/>
          <w:bottom w:w="0" w:type="dxa"/>
          <w:right w:w="0" w:type="dxa"/>
        </w:tblCellMar>
      </w:tblPr>
      <w:tblGrid>
        <w:gridCol w:w="1265"/>
        <w:gridCol w:w="60"/>
        <w:gridCol w:w="125"/>
        <w:gridCol w:w="1229"/>
        <w:gridCol w:w="125"/>
        <w:gridCol w:w="125"/>
        <w:gridCol w:w="125"/>
        <w:gridCol w:w="1229"/>
        <w:gridCol w:w="75"/>
      </w:tblGrid>
      <w:tr>
        <w:trPr/>
        <w:tc>
          <w:tcPr>
            <w:tcW w:w="1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9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2025</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54"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point in time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18,179</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44,601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Overtime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17,255</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25,869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2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2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35,434</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70,470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950" w:type="dxa"/>
        <w:jc w:val="left"/>
        <w:tblInd w:w="0" w:type="dxa"/>
        <w:tblLayout w:type="fixed"/>
        <w:tblCellMar>
          <w:top w:w="0" w:type="dxa"/>
          <w:left w:w="0" w:type="dxa"/>
          <w:bottom w:w="0" w:type="dxa"/>
          <w:right w:w="0" w:type="dxa"/>
        </w:tblCellMar>
      </w:tblPr>
      <w:tblGrid>
        <w:gridCol w:w="75"/>
        <w:gridCol w:w="200"/>
        <w:gridCol w:w="26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7.</w:t>
            </w:r>
          </w:p>
        </w:tc>
        <w:tc>
          <w:tcPr>
            <w:tcW w:w="2675" w:type="dxa"/>
            <w:tcBorders/>
            <w:vAlign w:val="center"/>
          </w:tcPr>
          <w:p>
            <w:pPr>
              <w:pStyle w:val="TableContents"/>
              <w:bidi w:val="0"/>
              <w:spacing w:before="0" w:after="283"/>
              <w:jc w:val="both"/>
              <w:rPr>
                <w:b/>
              </w:rPr>
            </w:pPr>
            <w:r>
              <w:rPr>
                <w:b/>
              </w:rPr>
              <w:t>NET LOSS PER SHARE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Basic and diluted net loss per share have been calculated in accordance with ASC 260 for the six months ended June 30, 2025 and 2026. The following table sets forth the computation of basic and diluted net loss per share:</w:t>
      </w:r>
    </w:p>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155"/>
        <w:gridCol w:w="60"/>
        <w:gridCol w:w="74"/>
        <w:gridCol w:w="1317"/>
        <w:gridCol w:w="99"/>
        <w:gridCol w:w="74"/>
        <w:gridCol w:w="74"/>
        <w:gridCol w:w="1317"/>
        <w:gridCol w:w="95"/>
      </w:tblGrid>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9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9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91"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9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91"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55" w:type="dxa"/>
            <w:tcBorders/>
            <w:shd w:fill="CCEEFF" w:val="clear"/>
            <w:vAlign w:val="center"/>
          </w:tcPr>
          <w:p>
            <w:pPr>
              <w:pStyle w:val="TableContents"/>
              <w:bidi w:val="0"/>
              <w:spacing w:before="0" w:after="283"/>
              <w:jc w:val="left"/>
              <w:rPr>
                <w:b/>
                <w:sz w:val="20"/>
              </w:rPr>
            </w:pPr>
            <w:r>
              <w:rPr>
                <w:b/>
                <w:sz w:val="20"/>
              </w:rPr>
              <w:t>Numerator:</w:t>
            </w:r>
          </w:p>
        </w:tc>
        <w:tc>
          <w:tcPr>
            <w:tcW w:w="60" w:type="dxa"/>
            <w:tcBorders/>
            <w:shd w:fill="CCEEFF" w:val="clear"/>
            <w:vAlign w:val="center"/>
          </w:tcPr>
          <w:p>
            <w:pPr>
              <w:pStyle w:val="TableContents"/>
              <w:bidi w:val="0"/>
              <w:spacing w:before="0" w:after="283"/>
              <w:jc w:val="left"/>
              <w:rPr/>
            </w:pPr>
            <w:r>
              <w:rPr/>
              <w:t> </w:t>
            </w:r>
          </w:p>
        </w:tc>
        <w:tc>
          <w:tcPr>
            <w:tcW w:w="1391" w:type="dxa"/>
            <w:gridSpan w:val="2"/>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91"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loss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(96,086</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(110,251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359,375,886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433,546,371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and per ADS,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593" w:type="dxa"/>
        <w:jc w:val="left"/>
        <w:tblInd w:w="0" w:type="dxa"/>
        <w:tblLayout w:type="fixed"/>
        <w:tblCellMar>
          <w:top w:w="0" w:type="dxa"/>
          <w:left w:w="0" w:type="dxa"/>
          <w:bottom w:w="0" w:type="dxa"/>
          <w:right w:w="0" w:type="dxa"/>
        </w:tblCellMar>
      </w:tblPr>
      <w:tblGrid>
        <w:gridCol w:w="38"/>
        <w:gridCol w:w="20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1355" w:type="dxa"/>
            <w:tcBorders/>
            <w:vAlign w:val="center"/>
          </w:tcPr>
          <w:p>
            <w:pPr>
              <w:pStyle w:val="TableContents"/>
              <w:bidi w:val="0"/>
              <w:spacing w:before="0" w:after="283"/>
              <w:jc w:val="both"/>
              <w:rPr>
                <w:b/>
              </w:rPr>
            </w:pPr>
            <w:r>
              <w:rPr>
                <w:b/>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is registered in the Cayman Islands and mainly operates in two taxable jurisdictions – the PRC and the U.S. The Group’s loss before income tax for the six months ended June 30, 2025 and 2026, is as follows:</w:t>
      </w:r>
    </w:p>
    <w:p>
      <w:pPr>
        <w:pStyle w:val="TextBody"/>
        <w:bidi w:val="0"/>
        <w:spacing w:before="0" w:after="0"/>
        <w:ind w:left="0" w:right="0" w:hanging="0"/>
        <w:jc w:val="left"/>
        <w:rPr>
          <w:caps w:val="false"/>
          <w:smallCaps w:val="false"/>
        </w:rPr>
      </w:pPr>
      <w:r>
        <w:rPr>
          <w:caps w:val="false"/>
          <w:smallCaps w:val="false"/>
        </w:rPr>
        <w:t> </w:t>
      </w:r>
    </w:p>
    <w:tbl>
      <w:tblPr>
        <w:tblW w:w="7631" w:type="dxa"/>
        <w:jc w:val="left"/>
        <w:tblInd w:w="0" w:type="dxa"/>
        <w:tblLayout w:type="fixed"/>
        <w:tblCellMar>
          <w:top w:w="0" w:type="dxa"/>
          <w:left w:w="0" w:type="dxa"/>
          <w:bottom w:w="0" w:type="dxa"/>
          <w:right w:w="0" w:type="dxa"/>
        </w:tblCellMar>
      </w:tblPr>
      <w:tblGrid>
        <w:gridCol w:w="4520"/>
        <w:gridCol w:w="60"/>
        <w:gridCol w:w="113"/>
        <w:gridCol w:w="1233"/>
        <w:gridCol w:w="151"/>
        <w:gridCol w:w="113"/>
        <w:gridCol w:w="113"/>
        <w:gridCol w:w="1233"/>
        <w:gridCol w:w="9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9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15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46"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15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46"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from the PRC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(63,963</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(69,198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from non-PRC operations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(26,676</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(29,662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 before income tax</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(90,639</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(98,860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tax expenses applicable to the PRC operations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5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tax expenses applicable to non-PRC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52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5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3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RECONCILIATION OF U.S. GAAP AND NON-GAAP RESULTS</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7857" w:type="dxa"/>
        <w:jc w:val="left"/>
        <w:tblInd w:w="0" w:type="dxa"/>
        <w:tblLayout w:type="fixed"/>
        <w:tblCellMar>
          <w:top w:w="0" w:type="dxa"/>
          <w:left w:w="0" w:type="dxa"/>
          <w:bottom w:w="0" w:type="dxa"/>
          <w:right w:w="0" w:type="dxa"/>
        </w:tblCellMar>
      </w:tblPr>
      <w:tblGrid>
        <w:gridCol w:w="4745"/>
        <w:gridCol w:w="60"/>
        <w:gridCol w:w="100"/>
        <w:gridCol w:w="1262"/>
        <w:gridCol w:w="133"/>
        <w:gridCol w:w="100"/>
        <w:gridCol w:w="100"/>
        <w:gridCol w:w="1262"/>
        <w:gridCol w:w="95"/>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9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2025</w:t>
            </w:r>
          </w:p>
        </w:tc>
        <w:tc>
          <w:tcPr>
            <w:tcW w:w="13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2"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13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2"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(96,516</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(104,114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11,874</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8,982</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(84,642</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(95,132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(26,574</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(31,876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4,343</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4,636</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(22,231</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(27,240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(123,090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(135,990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16,217</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13,618</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(106,873</w:t>
            </w:r>
          </w:p>
        </w:tc>
        <w:tc>
          <w:tcPr>
            <w:tcW w:w="1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(122,372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(117,311</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(124,079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16,217</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13,618</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(101,094</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(110,461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(90,640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(98,861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16,217</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13,618</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fair value of trading securities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6,234</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(25,663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Impairment loss on prepayment for long-term investments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25,000</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loss</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(68,189</w:t>
            </w:r>
          </w:p>
        </w:tc>
        <w:tc>
          <w:tcPr>
            <w:tcW w:w="1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(85,906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Pony AI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(96,086</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(110,251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16,217</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13,618</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fair value of trading securities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6,234</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(13,584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Impairment loss on prepayment for long-term investments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3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25,000</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3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6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74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Non-GAAP net loss attributable to Pony AI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(73,635</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(85,217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RECONCILIATION OF U.S. GAAP AND NON-GAAP RESULTS (CONTINUED)</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0"/>
        <w:gridCol w:w="60"/>
        <w:gridCol w:w="60"/>
        <w:gridCol w:w="1055"/>
        <w:gridCol w:w="80"/>
        <w:gridCol w:w="60"/>
        <w:gridCol w:w="60"/>
        <w:gridCol w:w="1055"/>
        <w:gridCol w:w="95"/>
      </w:tblGrid>
      <w:tr>
        <w:trPr/>
        <w:tc>
          <w:tcPr>
            <w:tcW w:w="7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Six Months Ended </w:t>
              <w:br/>
              <w:t>June 30,</w:t>
            </w:r>
          </w:p>
        </w:tc>
        <w:tc>
          <w:tcPr>
            <w:tcW w:w="95" w:type="dxa"/>
            <w:tcBorders/>
            <w:vAlign w:val="center"/>
          </w:tcPr>
          <w:p>
            <w:pPr>
              <w:pStyle w:val="TableContents"/>
              <w:bidi w:val="0"/>
              <w:spacing w:before="0" w:after="283"/>
              <w:jc w:val="left"/>
              <w:rPr/>
            </w:pPr>
            <w:r>
              <w:rPr/>
              <w:t> </w:t>
            </w:r>
          </w:p>
        </w:tc>
      </w:tr>
      <w:tr>
        <w:trPr/>
        <w:tc>
          <w:tcPr>
            <w:tcW w:w="7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USD</w:t>
            </w:r>
          </w:p>
        </w:tc>
        <w:tc>
          <w:tcPr>
            <w:tcW w:w="95"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outstanding used in computing net loss per ordinary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359,375,886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433,546,371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Non-GAAP net loss per ordinary share, basic and diluted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(0.20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6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6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(79,570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(118,215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Capital expenditures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(14,464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(44,618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6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flows</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 xml:space="preserve">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(162,833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Such adjustments have no impact on income tax for the six months ended June 30, 2025 and 2026, as no deferred tax has been recognized in respect of the temporary differences arising from these Non-GAAP adjustments.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Free Cash Flows are a non-GAAP measure, commonly defined as cash flows from operating activities as presented in the statement of cash flows, less capital expenditures. However, in the context of the Company, operating cash flows are a cash out (i.e., a cash outflow). Free Cash Flows represent the total of operating cash outflows plus capital expenditures. This metric reflects the Company’s important cash outflows, as it combines the funds required to maintain operations and invest in growth.</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PUBLICATION OF THE INTERIM RESULTS ANNOUNCEMENT AND INTERIM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interim results announcement is published on the websites of the Stock Exchange (https://www.hkexnews.hk) and the Company (https://ir.pony.ai/). The printed copy of the interim report will be dispatched to the Company’s shareholders on request and made available for review on the same websites in due course.</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4235"/>
      </w:tblGrid>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Pony AI Inc.</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Dr. Jun Peng</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of the date of this announcement, the Board comprises: (i) Dr. Jun Peng and Dr. Tiancheng Lou as executive Directors; (ii) Mr. Fei Zhang and Mr. Takeo Hamada as non-executive Directors;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(iii) Mr. Jackson Peter Tai, Dr. Mark Qiu and Ms. Asmau Ahmed as independent non-executive Directors.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13597</Words>
  <Characters>77784</Characters>
  <CharactersWithSpaces>93299</CharactersWithSpaces>
  <Paragraphs>5037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